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099" w:rsidRDefault="00872099" w:rsidP="00872099">
      <w:pPr>
        <w:jc w:val="center"/>
        <w:rPr>
          <w:b/>
          <w:bCs/>
        </w:rPr>
      </w:pPr>
    </w:p>
    <w:p w:rsidR="00872099" w:rsidRDefault="00872099" w:rsidP="00872099">
      <w:pPr>
        <w:jc w:val="center"/>
        <w:rPr>
          <w:b/>
          <w:bCs/>
        </w:rPr>
      </w:pPr>
    </w:p>
    <w:p w:rsidR="00872099" w:rsidRDefault="00872099" w:rsidP="00872099">
      <w:pPr>
        <w:jc w:val="center"/>
        <w:rPr>
          <w:b/>
          <w:bCs/>
        </w:rPr>
      </w:pPr>
    </w:p>
    <w:p w:rsidR="00872099" w:rsidRDefault="00872099" w:rsidP="00872099">
      <w:pPr>
        <w:jc w:val="center"/>
        <w:rPr>
          <w:b/>
          <w:bCs/>
        </w:rPr>
      </w:pPr>
    </w:p>
    <w:p w:rsidR="00FF6669" w:rsidRDefault="00FF6669" w:rsidP="00FF6669">
      <w:pPr>
        <w:ind w:left="567" w:hanging="567"/>
        <w:jc w:val="right"/>
        <w:rPr>
          <w:i/>
        </w:rPr>
      </w:pPr>
      <w:r>
        <w:rPr>
          <w:i/>
        </w:rPr>
        <w:t>3. melléklet a 8/2019. (XI.14.) önkormányzati rendelethez</w:t>
      </w:r>
    </w:p>
    <w:p w:rsidR="00FF6669" w:rsidRDefault="00FF6669" w:rsidP="00FF6669">
      <w:pPr>
        <w:ind w:left="567" w:hanging="567"/>
        <w:jc w:val="right"/>
        <w:rPr>
          <w:i/>
        </w:rPr>
      </w:pPr>
    </w:p>
    <w:p w:rsidR="00FF6669" w:rsidRDefault="00FF6669" w:rsidP="00FF6669">
      <w:pPr>
        <w:ind w:left="567" w:hanging="567"/>
        <w:jc w:val="right"/>
        <w:rPr>
          <w:i/>
        </w:rPr>
      </w:pPr>
    </w:p>
    <w:p w:rsidR="00FF6669" w:rsidRDefault="00FF6669" w:rsidP="00FF6669">
      <w:pPr>
        <w:jc w:val="center"/>
        <w:rPr>
          <w:b/>
        </w:rPr>
      </w:pPr>
      <w:r>
        <w:rPr>
          <w:b/>
        </w:rPr>
        <w:t>Önkormányzat által használt kormányzati funkciók</w:t>
      </w:r>
    </w:p>
    <w:p w:rsidR="00FF6669" w:rsidRDefault="00FF6669" w:rsidP="00FF6669">
      <w:pPr>
        <w:jc w:val="both"/>
        <w:rPr>
          <w:i/>
        </w:rPr>
      </w:pPr>
    </w:p>
    <w:tbl>
      <w:tblPr>
        <w:tblW w:w="1911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00"/>
        <w:gridCol w:w="8965"/>
        <w:gridCol w:w="17"/>
        <w:gridCol w:w="17"/>
        <w:gridCol w:w="103"/>
        <w:gridCol w:w="8965"/>
        <w:gridCol w:w="17"/>
        <w:gridCol w:w="17"/>
        <w:gridCol w:w="103"/>
      </w:tblGrid>
      <w:tr w:rsidR="00FF6669" w:rsidTr="00FF6669">
        <w:trPr>
          <w:gridBefore w:val="1"/>
          <w:wBefore w:w="8" w:type="dxa"/>
        </w:trPr>
        <w:tc>
          <w:tcPr>
            <w:tcW w:w="900" w:type="dxa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011130</w:t>
            </w:r>
          </w:p>
        </w:tc>
        <w:tc>
          <w:tcPr>
            <w:tcW w:w="9102" w:type="dxa"/>
            <w:gridSpan w:val="4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 xml:space="preserve">Önkormányzatok és önkormányzati hivatalok jogalkotó és </w:t>
            </w:r>
          </w:p>
          <w:p w:rsidR="00FF6669" w:rsidRDefault="00FF6669">
            <w:pPr>
              <w:spacing w:line="256" w:lineRule="auto"/>
              <w:jc w:val="both"/>
            </w:pPr>
            <w:r>
              <w:t>általános igazgatási tevékenysége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  <w:tr w:rsidR="00FF6669" w:rsidTr="00FF6669">
        <w:tc>
          <w:tcPr>
            <w:tcW w:w="908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011220</w:t>
            </w:r>
          </w:p>
        </w:tc>
        <w:tc>
          <w:tcPr>
            <w:tcW w:w="9102" w:type="dxa"/>
            <w:gridSpan w:val="4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Adó-, vám- és jövedéki igazgatás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  <w:tr w:rsidR="00FF6669" w:rsidTr="00FF6669">
        <w:tc>
          <w:tcPr>
            <w:tcW w:w="908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013320</w:t>
            </w:r>
          </w:p>
        </w:tc>
        <w:tc>
          <w:tcPr>
            <w:tcW w:w="9102" w:type="dxa"/>
            <w:gridSpan w:val="4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Köztemető-fenntartás és -működtetés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  <w:tr w:rsidR="00FF6669" w:rsidTr="00FF6669">
        <w:tc>
          <w:tcPr>
            <w:tcW w:w="908" w:type="dxa"/>
            <w:gridSpan w:val="2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016010</w:t>
            </w:r>
          </w:p>
        </w:tc>
        <w:tc>
          <w:tcPr>
            <w:tcW w:w="9102" w:type="dxa"/>
            <w:gridSpan w:val="4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 xml:space="preserve">Országgyűlési, önkormányzati és európai parlamenti képviselőválasztásokhoz </w:t>
            </w:r>
          </w:p>
          <w:p w:rsidR="00FF6669" w:rsidRDefault="00FF6669">
            <w:pPr>
              <w:spacing w:line="256" w:lineRule="auto"/>
              <w:jc w:val="both"/>
            </w:pPr>
            <w:r>
              <w:t>kapcsolódó tevékenységek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  <w:tr w:rsidR="00FF6669" w:rsidTr="00FF6669">
        <w:tc>
          <w:tcPr>
            <w:tcW w:w="908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016020</w:t>
            </w:r>
          </w:p>
        </w:tc>
        <w:tc>
          <w:tcPr>
            <w:tcW w:w="9102" w:type="dxa"/>
            <w:gridSpan w:val="4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Országos és helyi népszavazással kapcsolatos tevékenységek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  <w:tr w:rsidR="00FF6669" w:rsidTr="00FF6669">
        <w:tc>
          <w:tcPr>
            <w:tcW w:w="908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016080</w:t>
            </w:r>
          </w:p>
        </w:tc>
        <w:tc>
          <w:tcPr>
            <w:tcW w:w="9102" w:type="dxa"/>
            <w:gridSpan w:val="4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Kiemelt állami és önkormányzati rendezvények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  <w:tr w:rsidR="00FF6669" w:rsidTr="00FF6669">
        <w:trPr>
          <w:gridAfter w:val="3"/>
          <w:wAfter w:w="137" w:type="dxa"/>
        </w:trPr>
        <w:tc>
          <w:tcPr>
            <w:tcW w:w="908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045160</w:t>
            </w:r>
          </w:p>
        </w:tc>
        <w:tc>
          <w:tcPr>
            <w:tcW w:w="8965" w:type="dxa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Közutak, hidak, alagutak üzemeltetése, fenntartása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  <w:tr w:rsidR="00FF6669" w:rsidTr="00FF6669">
        <w:trPr>
          <w:gridAfter w:val="2"/>
          <w:wAfter w:w="120" w:type="dxa"/>
        </w:trPr>
        <w:tc>
          <w:tcPr>
            <w:tcW w:w="908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064010</w:t>
            </w:r>
          </w:p>
        </w:tc>
        <w:tc>
          <w:tcPr>
            <w:tcW w:w="8982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Közvilágítás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  <w:tr w:rsidR="00FF6669" w:rsidTr="00FF6669">
        <w:trPr>
          <w:gridAfter w:val="2"/>
          <w:wAfter w:w="120" w:type="dxa"/>
        </w:trPr>
        <w:tc>
          <w:tcPr>
            <w:tcW w:w="908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066020</w:t>
            </w:r>
          </w:p>
        </w:tc>
        <w:tc>
          <w:tcPr>
            <w:tcW w:w="8982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Város-, községgazdálkodási egyéb szolgáltatások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  <w:tr w:rsidR="00FF6669" w:rsidTr="00FF6669">
        <w:trPr>
          <w:gridAfter w:val="1"/>
          <w:wAfter w:w="103" w:type="dxa"/>
        </w:trPr>
        <w:tc>
          <w:tcPr>
            <w:tcW w:w="908" w:type="dxa"/>
            <w:gridSpan w:val="2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081030</w:t>
            </w:r>
          </w:p>
        </w:tc>
        <w:tc>
          <w:tcPr>
            <w:tcW w:w="8999" w:type="dxa"/>
            <w:gridSpan w:val="3"/>
            <w:vAlign w:val="center"/>
            <w:hideMark/>
          </w:tcPr>
          <w:p w:rsidR="00FF6669" w:rsidRDefault="00FF6669">
            <w:pPr>
              <w:spacing w:line="256" w:lineRule="auto"/>
              <w:jc w:val="both"/>
            </w:pPr>
            <w:r>
              <w:t>Sportlétesítmények, edzőtáborok működtetése és fejlesztése</w:t>
            </w:r>
          </w:p>
        </w:tc>
        <w:tc>
          <w:tcPr>
            <w:tcW w:w="9102" w:type="dxa"/>
            <w:gridSpan w:val="4"/>
          </w:tcPr>
          <w:p w:rsidR="00FF6669" w:rsidRDefault="00FF6669">
            <w:pPr>
              <w:spacing w:line="256" w:lineRule="auto"/>
              <w:jc w:val="both"/>
            </w:pPr>
          </w:p>
        </w:tc>
      </w:tr>
    </w:tbl>
    <w:p w:rsidR="00FF6669" w:rsidRDefault="00FF6669" w:rsidP="00FF6669">
      <w:pPr>
        <w:jc w:val="both"/>
      </w:pPr>
      <w:r>
        <w:t>041231   Rövid időtartamú közfoglalkoztatás</w:t>
      </w:r>
    </w:p>
    <w:p w:rsidR="00FF6669" w:rsidRDefault="00FF6669" w:rsidP="00FF6669">
      <w:pPr>
        <w:jc w:val="both"/>
      </w:pPr>
      <w:r>
        <w:t>041232   Start-munka program - Téli közfoglalkoztatás</w:t>
      </w:r>
    </w:p>
    <w:p w:rsidR="00FF6669" w:rsidRDefault="00FF6669" w:rsidP="00FF6669">
      <w:pPr>
        <w:jc w:val="both"/>
      </w:pPr>
      <w:r>
        <w:t>041233   Hosszabb időtartamú közfoglalkoztatás</w:t>
      </w:r>
    </w:p>
    <w:p w:rsidR="00FF6669" w:rsidRDefault="00FF6669" w:rsidP="00FF6669">
      <w:pPr>
        <w:jc w:val="both"/>
      </w:pPr>
      <w:r>
        <w:t>082092   Közművelődés - hagyományos közösségi kulturális értékek gondozása</w:t>
      </w:r>
    </w:p>
    <w:p w:rsidR="00FF6669" w:rsidRDefault="00FF6669" w:rsidP="00FF6669">
      <w:pPr>
        <w:jc w:val="both"/>
      </w:pPr>
      <w:r>
        <w:t>082093   Közművelődés - egész életre kiterjedő tanulás, amatőr művészetek</w:t>
      </w:r>
    </w:p>
    <w:p w:rsidR="00FF6669" w:rsidRDefault="00FF6669" w:rsidP="00FF6669">
      <w:pPr>
        <w:jc w:val="both"/>
      </w:pPr>
      <w:r>
        <w:t>096015   Gyermekétkeztetés köznevelési intézményben</w:t>
      </w:r>
    </w:p>
    <w:p w:rsidR="00FF6669" w:rsidRDefault="00FF6669" w:rsidP="00FF6669">
      <w:pPr>
        <w:jc w:val="both"/>
        <w:rPr>
          <w:b/>
          <w:bCs/>
        </w:rPr>
      </w:pPr>
      <w:r>
        <w:rPr>
          <w:b/>
          <w:bCs/>
        </w:rPr>
        <w:t>062020   Településfejlesztési projektek és támogatásuk</w:t>
      </w:r>
    </w:p>
    <w:p w:rsidR="00FF6669" w:rsidRDefault="00FF6669" w:rsidP="00FF6669">
      <w:pPr>
        <w:rPr>
          <w:b/>
          <w:bCs/>
        </w:rPr>
      </w:pPr>
    </w:p>
    <w:p w:rsidR="00FF6669" w:rsidRDefault="00FF6669" w:rsidP="00FF6669">
      <w:pPr>
        <w:jc w:val="center"/>
        <w:rPr>
          <w:b/>
          <w:bCs/>
        </w:rPr>
      </w:pPr>
    </w:p>
    <w:p w:rsidR="00FF6669" w:rsidRDefault="00FF6669" w:rsidP="00FF6669">
      <w:pPr>
        <w:jc w:val="center"/>
        <w:rPr>
          <w:b/>
          <w:bCs/>
        </w:rPr>
      </w:pPr>
    </w:p>
    <w:p w:rsidR="00FF6669" w:rsidRDefault="00FF6669" w:rsidP="00FF6669">
      <w:pPr>
        <w:jc w:val="center"/>
        <w:rPr>
          <w:b/>
          <w:bCs/>
        </w:rPr>
      </w:pPr>
    </w:p>
    <w:p w:rsidR="00FF6669" w:rsidRDefault="00FF6669" w:rsidP="00FF6669">
      <w:pPr>
        <w:jc w:val="center"/>
        <w:rPr>
          <w:b/>
          <w:bCs/>
        </w:rPr>
      </w:pPr>
    </w:p>
    <w:p w:rsidR="00FF6669" w:rsidRDefault="00FF6669" w:rsidP="00FF6669">
      <w:pPr>
        <w:jc w:val="center"/>
        <w:rPr>
          <w:b/>
          <w:bCs/>
        </w:rPr>
      </w:pPr>
    </w:p>
    <w:p w:rsidR="00A54B61" w:rsidRPr="00872099" w:rsidRDefault="00A54B61" w:rsidP="00872099">
      <w:bookmarkStart w:id="0" w:name="_GoBack"/>
      <w:bookmarkEnd w:id="0"/>
    </w:p>
    <w:sectPr w:rsidR="00A54B61" w:rsidRPr="00872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86CFE"/>
    <w:multiLevelType w:val="hybridMultilevel"/>
    <w:tmpl w:val="288CD728"/>
    <w:lvl w:ilvl="0" w:tplc="E228BA1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40"/>
    <w:rsid w:val="00872099"/>
    <w:rsid w:val="00A54B61"/>
    <w:rsid w:val="00B563CB"/>
    <w:rsid w:val="00CC0840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409B8-1012-405C-8F2D-8DB6B364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08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Tamásné</dc:creator>
  <cp:keywords/>
  <dc:description/>
  <cp:lastModifiedBy>Takács Tamásné</cp:lastModifiedBy>
  <cp:revision>6</cp:revision>
  <dcterms:created xsi:type="dcterms:W3CDTF">2019-12-06T06:28:00Z</dcterms:created>
  <dcterms:modified xsi:type="dcterms:W3CDTF">2019-12-06T07:01:00Z</dcterms:modified>
</cp:coreProperties>
</file>