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AF0" w:rsidRPr="008E0B14" w:rsidRDefault="00496AF0" w:rsidP="00496AF0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00000A"/>
          <w:kern w:val="2"/>
          <w:sz w:val="20"/>
          <w:szCs w:val="20"/>
          <w:lang w:eastAsia="zh-CN"/>
        </w:rPr>
      </w:pPr>
      <w:r>
        <w:rPr>
          <w:rFonts w:ascii="Times New Roman" w:eastAsia="Calibri" w:hAnsi="Times New Roman" w:cs="Times New Roman"/>
          <w:color w:val="00000A"/>
          <w:kern w:val="2"/>
          <w:sz w:val="20"/>
          <w:szCs w:val="20"/>
          <w:lang w:eastAsia="zh-CN"/>
        </w:rPr>
        <w:t>5</w:t>
      </w:r>
      <w:r w:rsidRPr="00831410">
        <w:rPr>
          <w:rFonts w:ascii="Times New Roman" w:eastAsia="Calibri" w:hAnsi="Times New Roman" w:cs="Times New Roman"/>
          <w:color w:val="00000A"/>
          <w:kern w:val="2"/>
          <w:sz w:val="20"/>
          <w:szCs w:val="20"/>
          <w:lang w:eastAsia="zh-CN"/>
        </w:rPr>
        <w:t>.</w:t>
      </w:r>
      <w:r>
        <w:rPr>
          <w:rFonts w:ascii="Times New Roman" w:eastAsia="Calibri" w:hAnsi="Times New Roman" w:cs="Times New Roman"/>
          <w:color w:val="00000A"/>
          <w:kern w:val="2"/>
          <w:sz w:val="20"/>
          <w:szCs w:val="20"/>
          <w:lang w:eastAsia="zh-CN"/>
        </w:rPr>
        <w:t xml:space="preserve"> melléklet </w:t>
      </w:r>
      <w:r w:rsidRPr="00831410">
        <w:rPr>
          <w:rFonts w:ascii="Times New Roman" w:eastAsia="Calibri" w:hAnsi="Times New Roman" w:cs="Times New Roman"/>
          <w:color w:val="00000A"/>
          <w:kern w:val="2"/>
          <w:sz w:val="20"/>
          <w:szCs w:val="20"/>
          <w:lang w:eastAsia="zh-CN"/>
        </w:rPr>
        <w:t xml:space="preserve">a </w:t>
      </w:r>
      <w:r>
        <w:rPr>
          <w:rFonts w:ascii="Times New Roman" w:eastAsia="Calibri" w:hAnsi="Times New Roman" w:cs="Times New Roman"/>
          <w:color w:val="00000A"/>
          <w:kern w:val="2"/>
          <w:sz w:val="20"/>
          <w:szCs w:val="20"/>
          <w:lang w:eastAsia="zh-CN"/>
        </w:rPr>
        <w:t>23/</w:t>
      </w:r>
      <w:r w:rsidRPr="00831410">
        <w:rPr>
          <w:rFonts w:ascii="Times New Roman" w:eastAsia="Calibri" w:hAnsi="Times New Roman" w:cs="Times New Roman"/>
          <w:color w:val="00000A"/>
          <w:kern w:val="2"/>
          <w:sz w:val="20"/>
          <w:szCs w:val="20"/>
          <w:lang w:eastAsia="zh-CN"/>
        </w:rPr>
        <w:t>2019. (</w:t>
      </w:r>
      <w:r>
        <w:rPr>
          <w:rFonts w:ascii="Times New Roman" w:eastAsia="Calibri" w:hAnsi="Times New Roman" w:cs="Times New Roman"/>
          <w:color w:val="00000A"/>
          <w:kern w:val="2"/>
          <w:sz w:val="20"/>
          <w:szCs w:val="20"/>
          <w:lang w:eastAsia="zh-CN"/>
        </w:rPr>
        <w:t>VI.14.</w:t>
      </w:r>
      <w:r w:rsidRPr="00831410">
        <w:rPr>
          <w:rFonts w:ascii="Times New Roman" w:eastAsia="Calibri" w:hAnsi="Times New Roman" w:cs="Times New Roman"/>
          <w:color w:val="00000A"/>
          <w:kern w:val="2"/>
          <w:sz w:val="20"/>
          <w:szCs w:val="20"/>
          <w:lang w:eastAsia="zh-CN"/>
        </w:rPr>
        <w:t>)</w:t>
      </w:r>
      <w:r>
        <w:rPr>
          <w:rFonts w:ascii="Times New Roman" w:eastAsia="Calibri" w:hAnsi="Times New Roman" w:cs="Times New Roman"/>
          <w:color w:val="00000A"/>
          <w:kern w:val="2"/>
          <w:sz w:val="20"/>
          <w:szCs w:val="20"/>
          <w:lang w:eastAsia="zh-CN"/>
        </w:rPr>
        <w:t xml:space="preserve"> </w:t>
      </w:r>
      <w:r w:rsidRPr="00831410">
        <w:rPr>
          <w:rFonts w:ascii="Times New Roman" w:eastAsia="Calibri" w:hAnsi="Times New Roman" w:cs="Times New Roman"/>
          <w:color w:val="00000A"/>
          <w:kern w:val="2"/>
          <w:sz w:val="20"/>
          <w:szCs w:val="20"/>
          <w:lang w:eastAsia="zh-CN"/>
        </w:rPr>
        <w:t>önkormányzati rendelethez</w:t>
      </w:r>
    </w:p>
    <w:p w:rsidR="00496AF0" w:rsidRPr="008E0B14" w:rsidRDefault="00496AF0" w:rsidP="00496AF0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i/>
          <w:color w:val="00000A"/>
          <w:kern w:val="2"/>
          <w:highlight w:val="green"/>
          <w:u w:val="single"/>
          <w:lang w:eastAsia="zh-CN"/>
        </w:rPr>
      </w:pPr>
    </w:p>
    <w:p w:rsidR="00496AF0" w:rsidRPr="008E0B14" w:rsidRDefault="00496AF0" w:rsidP="00496AF0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kern w:val="2"/>
          <w:lang w:eastAsia="zh-CN"/>
        </w:rPr>
      </w:pPr>
      <w:r w:rsidRPr="008E0B14">
        <w:rPr>
          <w:rFonts w:ascii="Times New Roman" w:eastAsia="Calibri" w:hAnsi="Times New Roman" w:cs="Times New Roman"/>
          <w:b/>
          <w:color w:val="00000A"/>
          <w:kern w:val="2"/>
          <w:lang w:eastAsia="zh-CN"/>
        </w:rPr>
        <w:t>Településképi szempontból vizsgálandó építési esetek</w:t>
      </w:r>
    </w:p>
    <w:p w:rsidR="00496AF0" w:rsidRPr="008E0B14" w:rsidRDefault="00496AF0" w:rsidP="00496AF0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00000A"/>
          <w:kern w:val="2"/>
          <w:highlight w:val="yellow"/>
          <w:lang w:eastAsia="zh-CN"/>
        </w:rPr>
      </w:pPr>
    </w:p>
    <w:p w:rsidR="00496AF0" w:rsidRPr="008E0B14" w:rsidRDefault="00496AF0" w:rsidP="00496AF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zh-CN"/>
        </w:rPr>
      </w:pPr>
      <w:r w:rsidRPr="008E0B14">
        <w:rPr>
          <w:rFonts w:ascii="Times New Roman" w:eastAsia="Calibri" w:hAnsi="Times New Roman" w:cs="Times New Roman"/>
          <w:kern w:val="2"/>
          <w:lang w:eastAsia="zh-CN"/>
        </w:rPr>
        <w:t>Kialakult előkert nélküli beépítésű területek beépítése;</w:t>
      </w:r>
    </w:p>
    <w:p w:rsidR="00496AF0" w:rsidRPr="008E0B14" w:rsidRDefault="00496AF0" w:rsidP="00496AF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kern w:val="2"/>
          <w:lang w:eastAsia="zh-CN"/>
        </w:rPr>
      </w:pP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Telek építési helyének meghatározása, a nem egyértelmű esetekben;</w:t>
      </w:r>
    </w:p>
    <w:p w:rsidR="00496AF0" w:rsidRPr="008E0B14" w:rsidRDefault="00496AF0" w:rsidP="00496AF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kern w:val="2"/>
          <w:lang w:eastAsia="zh-CN"/>
        </w:rPr>
      </w:pP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 xml:space="preserve">Oldalhatáron álló beépítési módú saroktelek esetében az </w:t>
      </w:r>
      <w:proofErr w:type="gramStart"/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épület(</w:t>
      </w:r>
      <w:proofErr w:type="spellStart"/>
      <w:proofErr w:type="gramEnd"/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ek</w:t>
      </w:r>
      <w:proofErr w:type="spellEnd"/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) elhelyezési feltételeinek meghatározása, abban az esetben, ha az építési hely határa a közterületi telekhatár;</w:t>
      </w:r>
    </w:p>
    <w:p w:rsidR="00496AF0" w:rsidRPr="008E0B14" w:rsidRDefault="00496AF0" w:rsidP="00496AF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kern w:val="2"/>
          <w:lang w:eastAsia="zh-CN"/>
        </w:rPr>
      </w:pP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Különleges területek épület elhelyezési feltételeinek meghatározása;</w:t>
      </w:r>
    </w:p>
    <w:p w:rsidR="00496AF0" w:rsidRPr="008E0B14" w:rsidRDefault="00496AF0" w:rsidP="00496AF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kern w:val="2"/>
          <w:lang w:eastAsia="zh-CN"/>
        </w:rPr>
      </w:pP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Zöldterületeken vendéglátó építmény elhelyezési feltételeinek meghatározása;</w:t>
      </w:r>
    </w:p>
    <w:p w:rsidR="00496AF0" w:rsidRPr="008E0B14" w:rsidRDefault="00496AF0" w:rsidP="00496AF0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kern w:val="2"/>
          <w:lang w:eastAsia="zh-CN"/>
        </w:rPr>
      </w:pP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Kereskedelmi, szolgáltató gazdasági épület, amennyiben az épület legmagasabb pontja meghaladja az épületmagasság legnagyobb értéke + 3,0 métert, a rendeltetéssel összefüggő technológiai berendezés indokolt magassága miatt;</w:t>
      </w:r>
    </w:p>
    <w:p w:rsidR="00496AF0" w:rsidRPr="008E0B14" w:rsidRDefault="00496AF0" w:rsidP="00496AF0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kern w:val="2"/>
          <w:lang w:eastAsia="zh-CN"/>
        </w:rPr>
      </w:pP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A gazdasági, a mezőgazdasági és a SZT-en megjelölt különleges területen a technológiai indokból kiemelkedő magasabb technikai építmények elhelyezése;</w:t>
      </w:r>
    </w:p>
    <w:p w:rsidR="00496AF0" w:rsidRPr="008E0B14" w:rsidRDefault="00496AF0" w:rsidP="00496AF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kern w:val="2"/>
          <w:lang w:eastAsia="zh-CN"/>
        </w:rPr>
      </w:pP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Vízgazdálkodási területen történő építmény elhelyezés;</w:t>
      </w:r>
    </w:p>
    <w:p w:rsidR="00496AF0" w:rsidRPr="008E0B14" w:rsidRDefault="00496AF0" w:rsidP="00496AF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kern w:val="2"/>
          <w:lang w:eastAsia="zh-CN"/>
        </w:rPr>
      </w:pP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Építmény közterületen történő elhelyezése;</w:t>
      </w:r>
    </w:p>
    <w:p w:rsidR="00496AF0" w:rsidRPr="008E0B14" w:rsidRDefault="00496AF0" w:rsidP="00496AF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kern w:val="2"/>
          <w:lang w:eastAsia="zh-CN"/>
        </w:rPr>
      </w:pP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A SZÉSZ egyes területekre vonatkozó előírásaiban részletezett, az adott területen elhelyezhető és el nem helyezhető építmények között meg nem nevezett építmények elhelyezhetősége, illetve az elhelyezés feltételeinek meghatározása;</w:t>
      </w:r>
    </w:p>
    <w:p w:rsidR="00496AF0" w:rsidRPr="008E0B14" w:rsidRDefault="00496AF0" w:rsidP="00496AF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kern w:val="2"/>
          <w:lang w:eastAsia="zh-CN"/>
        </w:rPr>
      </w:pP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A gazdasági területek valamennyi építési övezetében elhelyezhető építmények között nem említett és a SZÉSZ 7. számú mellékletében nem tilalmazott rendeltetés (</w:t>
      </w:r>
      <w:proofErr w:type="gramStart"/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funkció</w:t>
      </w:r>
      <w:proofErr w:type="gramEnd"/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) telepítésének szándéka esetén;</w:t>
      </w:r>
    </w:p>
    <w:p w:rsidR="00496AF0" w:rsidRPr="008E0B14" w:rsidRDefault="00496AF0" w:rsidP="00496AF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kern w:val="2"/>
          <w:lang w:eastAsia="zh-CN"/>
        </w:rPr>
      </w:pP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 xml:space="preserve">A SZÉSZ szerinti kialakult állapot </w:t>
      </w:r>
      <w:proofErr w:type="gramStart"/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( …</w:t>
      </w:r>
      <w:proofErr w:type="gramEnd"/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/K jelű építési övezet) esetén;</w:t>
      </w:r>
    </w:p>
    <w:p w:rsidR="00496AF0" w:rsidRPr="008E0B14" w:rsidRDefault="00496AF0" w:rsidP="00496AF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kern w:val="2"/>
          <w:lang w:eastAsia="zh-CN"/>
        </w:rPr>
      </w:pP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 xml:space="preserve">Az épület tetőidomának meghatározása ikres, zártsorú, vagy hézagosan zártsorú beépítésnél, ha az eltér a csatlakozó épület tetőlejtésétől, illetve </w:t>
      </w:r>
      <w:proofErr w:type="gramStart"/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szomszéd(</w:t>
      </w:r>
      <w:proofErr w:type="gramEnd"/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ok) hiányában a hagyományos (30-45 fok közötti) lejtésű nyeregtetőtől;</w:t>
      </w:r>
    </w:p>
    <w:p w:rsidR="00496AF0" w:rsidRPr="00831410" w:rsidRDefault="00496AF0" w:rsidP="00496AF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kern w:val="2"/>
          <w:lang w:eastAsia="zh-CN"/>
        </w:rPr>
      </w:pP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 xml:space="preserve"> </w:t>
      </w:r>
      <w:r w:rsidRPr="00831410">
        <w:rPr>
          <w:rFonts w:ascii="Times New Roman" w:eastAsia="Calibri" w:hAnsi="Times New Roman" w:cs="Times New Roman"/>
          <w:color w:val="00000A"/>
          <w:kern w:val="2"/>
          <w:lang w:eastAsia="zh-CN"/>
        </w:rPr>
        <w:t>Az előkert meghatározása, amennyiben a csatlakozó szomszédos telkek illetve az érintett utcaszakasz telkeinek előkertje eltérő;</w:t>
      </w:r>
    </w:p>
    <w:p w:rsidR="00496AF0" w:rsidRPr="008E0B14" w:rsidRDefault="00496AF0" w:rsidP="00496AF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kern w:val="2"/>
          <w:lang w:val="x-none" w:eastAsia="zh-CN"/>
        </w:rPr>
      </w:pP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M</w:t>
      </w:r>
      <w:r w:rsidRPr="008E0B14">
        <w:rPr>
          <w:rFonts w:ascii="Times New Roman" w:eastAsia="Calibri" w:hAnsi="Times New Roman" w:cs="Times New Roman"/>
          <w:color w:val="00000A"/>
          <w:kern w:val="2"/>
          <w:lang w:val="x-none" w:eastAsia="zh-CN"/>
        </w:rPr>
        <w:t xml:space="preserve">inden olyan jellegű építés, </w:t>
      </w: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a</w:t>
      </w:r>
      <w:r w:rsidRPr="008E0B14">
        <w:rPr>
          <w:rFonts w:ascii="Times New Roman" w:eastAsia="Calibri" w:hAnsi="Times New Roman" w:cs="Times New Roman"/>
          <w:color w:val="00000A"/>
          <w:kern w:val="2"/>
          <w:lang w:val="x-none" w:eastAsia="zh-CN"/>
        </w:rPr>
        <w:t>mely a</w:t>
      </w: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z adott területre</w:t>
      </w:r>
      <w:r w:rsidRPr="008E0B14">
        <w:rPr>
          <w:rFonts w:ascii="Times New Roman" w:eastAsia="Calibri" w:hAnsi="Times New Roman" w:cs="Times New Roman"/>
          <w:color w:val="00000A"/>
          <w:kern w:val="2"/>
          <w:lang w:val="x-none" w:eastAsia="zh-CN"/>
        </w:rPr>
        <w:t xml:space="preserve"> jellemző </w:t>
      </w: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megjelenéstől</w:t>
      </w:r>
      <w:r w:rsidRPr="008E0B14">
        <w:rPr>
          <w:rFonts w:ascii="Times New Roman" w:eastAsia="Calibri" w:hAnsi="Times New Roman" w:cs="Times New Roman"/>
          <w:color w:val="00000A"/>
          <w:kern w:val="2"/>
          <w:lang w:val="x-none" w:eastAsia="zh-CN"/>
        </w:rPr>
        <w:t xml:space="preserve"> eltérő építészeti megoldást tartalmaz, elsősorban a </w:t>
      </w:r>
      <w:proofErr w:type="spellStart"/>
      <w:r w:rsidRPr="008E0B14">
        <w:rPr>
          <w:rFonts w:ascii="Times New Roman" w:eastAsia="Calibri" w:hAnsi="Times New Roman" w:cs="Times New Roman"/>
          <w:color w:val="00000A"/>
          <w:kern w:val="2"/>
          <w:lang w:val="x-none" w:eastAsia="zh-CN"/>
        </w:rPr>
        <w:t>lapostetős</w:t>
      </w:r>
      <w:proofErr w:type="spellEnd"/>
      <w:r w:rsidRPr="008E0B14">
        <w:rPr>
          <w:rFonts w:ascii="Times New Roman" w:eastAsia="Calibri" w:hAnsi="Times New Roman" w:cs="Times New Roman"/>
          <w:color w:val="00000A"/>
          <w:kern w:val="2"/>
          <w:lang w:val="x-none" w:eastAsia="zh-CN"/>
        </w:rPr>
        <w:t xml:space="preserve"> vagy </w:t>
      </w: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 xml:space="preserve">20 foknál </w:t>
      </w:r>
      <w:r w:rsidRPr="008E0B14">
        <w:rPr>
          <w:rFonts w:ascii="Times New Roman" w:eastAsia="Calibri" w:hAnsi="Times New Roman" w:cs="Times New Roman"/>
          <w:color w:val="00000A"/>
          <w:kern w:val="2"/>
          <w:lang w:val="x-none" w:eastAsia="zh-CN"/>
        </w:rPr>
        <w:t>kis</w:t>
      </w:r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ebb</w:t>
      </w:r>
      <w:r w:rsidRPr="008E0B14">
        <w:rPr>
          <w:rFonts w:ascii="Times New Roman" w:eastAsia="Calibri" w:hAnsi="Times New Roman" w:cs="Times New Roman"/>
          <w:color w:val="00000A"/>
          <w:kern w:val="2"/>
          <w:lang w:val="x-none" w:eastAsia="zh-CN"/>
        </w:rPr>
        <w:t xml:space="preserve"> hajlásszögű tetővel fedett </w:t>
      </w:r>
      <w:proofErr w:type="spellStart"/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>főtömegű</w:t>
      </w:r>
      <w:proofErr w:type="spellEnd"/>
      <w:r w:rsidRPr="008E0B14">
        <w:rPr>
          <w:rFonts w:ascii="Times New Roman" w:eastAsia="Calibri" w:hAnsi="Times New Roman" w:cs="Times New Roman"/>
          <w:color w:val="00000A"/>
          <w:kern w:val="2"/>
          <w:lang w:eastAsia="zh-CN"/>
        </w:rPr>
        <w:t xml:space="preserve"> </w:t>
      </w:r>
      <w:r w:rsidRPr="008E0B14">
        <w:rPr>
          <w:rFonts w:ascii="Times New Roman" w:eastAsia="Calibri" w:hAnsi="Times New Roman" w:cs="Times New Roman"/>
          <w:color w:val="00000A"/>
          <w:kern w:val="2"/>
          <w:lang w:val="x-none" w:eastAsia="zh-CN"/>
        </w:rPr>
        <w:t>építmények elhelyezése esetén (a gazdasági területeken való elhelyezés kivételével).</w:t>
      </w:r>
    </w:p>
    <w:p w:rsidR="001134CE" w:rsidRDefault="001134CE">
      <w:bookmarkStart w:id="0" w:name="_GoBack"/>
      <w:bookmarkEnd w:id="0"/>
    </w:p>
    <w:sectPr w:rsidR="00113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AA5"/>
    <w:multiLevelType w:val="hybridMultilevel"/>
    <w:tmpl w:val="B8483B9C"/>
    <w:lvl w:ilvl="0" w:tplc="040E000F">
      <w:start w:val="1"/>
      <w:numFmt w:val="decimal"/>
      <w:lvlText w:val="%1."/>
      <w:lvlJc w:val="left"/>
      <w:pPr>
        <w:ind w:left="1211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AF0"/>
    <w:rsid w:val="001134CE"/>
    <w:rsid w:val="0049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E6D3E4-B826-457D-AA77-79B2CE4AE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6AF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Bartha Enikő</cp:lastModifiedBy>
  <cp:revision>1</cp:revision>
  <dcterms:created xsi:type="dcterms:W3CDTF">2019-06-14T10:26:00Z</dcterms:created>
  <dcterms:modified xsi:type="dcterms:W3CDTF">2019-06-14T10:26:00Z</dcterms:modified>
</cp:coreProperties>
</file>