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0D49" w:rsidRPr="00BC7FB6" w:rsidRDefault="002A557A" w:rsidP="00424009">
      <w:pPr>
        <w:jc w:val="center"/>
        <w:rPr>
          <w:b/>
        </w:rPr>
      </w:pPr>
      <w:r w:rsidRPr="00BC7FB6">
        <w:rPr>
          <w:b/>
        </w:rPr>
        <w:t>A jogalkotásról szóló 2010. évi CXXX. törvény 18. §</w:t>
      </w:r>
      <w:proofErr w:type="spellStart"/>
      <w:r w:rsidRPr="00BC7FB6">
        <w:rPr>
          <w:b/>
        </w:rPr>
        <w:t>-ában</w:t>
      </w:r>
      <w:proofErr w:type="spellEnd"/>
      <w:r w:rsidRPr="00BC7FB6">
        <w:rPr>
          <w:b/>
        </w:rPr>
        <w:t xml:space="preserve"> foglaltaknak megfelelően eljárva az.) önkormányzati rendelet </w:t>
      </w:r>
      <w:r w:rsidR="00B40D49" w:rsidRPr="00BC7FB6">
        <w:rPr>
          <w:b/>
        </w:rPr>
        <w:t xml:space="preserve">megalkotását </w:t>
      </w:r>
      <w:r w:rsidRPr="00BC7FB6">
        <w:rPr>
          <w:b/>
        </w:rPr>
        <w:t xml:space="preserve">az alábbiak indokolják </w:t>
      </w:r>
    </w:p>
    <w:p w:rsidR="00BC7FB6" w:rsidRPr="00BC7FB6" w:rsidRDefault="00BC7FB6" w:rsidP="00424009">
      <w:pPr>
        <w:spacing w:before="240"/>
        <w:jc w:val="center"/>
        <w:rPr>
          <w:b/>
          <w:u w:val="single"/>
        </w:rPr>
      </w:pPr>
      <w:r w:rsidRPr="00BC7FB6">
        <w:rPr>
          <w:b/>
          <w:u w:val="single"/>
        </w:rPr>
        <w:t>Általános indoklás</w:t>
      </w:r>
    </w:p>
    <w:p w:rsidR="001B44E1" w:rsidRDefault="001B44E1" w:rsidP="001B44E1">
      <w:pPr>
        <w:spacing w:before="120"/>
        <w:jc w:val="both"/>
      </w:pPr>
      <w:r>
        <w:t xml:space="preserve">Az önkormányzatokra vonatkozó jogszabályok alapján az önkormányzat maga határozza meg gazdasági programját és költségvetését. A költségvetés összeállításának részletes szabályait az államháztartásról szóló törvény, a 2020.évi </w:t>
      </w:r>
      <w:hyperlink r:id="rId8" w:tooltip="Finanszírozás" w:history="1">
        <w:r w:rsidRPr="001B44E1">
          <w:rPr>
            <w:rStyle w:val="Hiperhivatkozs"/>
            <w:color w:val="auto"/>
            <w:u w:val="none"/>
          </w:rPr>
          <w:t>finanszírozás</w:t>
        </w:r>
      </w:hyperlink>
      <w:r w:rsidRPr="001B44E1">
        <w:t xml:space="preserve"> </w:t>
      </w:r>
      <w:r>
        <w:t xml:space="preserve">rendjét, az állami hozzájárulás mértékét pedig 2019.évi LXXI. törvény Magyarország központi költségvetéséről (költségvetési törvény) határozza meg. </w:t>
      </w:r>
    </w:p>
    <w:p w:rsidR="001B44E1" w:rsidRDefault="001B44E1" w:rsidP="001B44E1">
      <w:pPr>
        <w:spacing w:before="120"/>
        <w:jc w:val="both"/>
      </w:pPr>
      <w:r>
        <w:t xml:space="preserve">Az önkormányzatok finanszírozásának elvei nem változtak, de az egyes kötelező feladatok támogatásai az ún. </w:t>
      </w:r>
      <w:proofErr w:type="gramStart"/>
      <w:r>
        <w:t>beszámítással</w:t>
      </w:r>
      <w:proofErr w:type="gramEnd"/>
      <w:r>
        <w:t xml:space="preserve"> csökkennek. Ezek a beszámítások a feladatalapú támogatások kalkulált összegeiből levonásra kerülnek a központi költségvetés számára az adóerő képesség szerint. Ezen okból Csopak Község Önkormányzat 2020.évi feladatalapú támogatásának fajlagos összegei 9.614.630 Ft-tal (beszámítás) csökkennek, de a 2020.évi támogatási összeg a 2019.évi eredeti támogatási összeg képest 3.502.947 Ft-tal nő. </w:t>
      </w:r>
    </w:p>
    <w:p w:rsidR="001B44E1" w:rsidRDefault="001B44E1" w:rsidP="00424009">
      <w:pPr>
        <w:jc w:val="center"/>
        <w:rPr>
          <w:b/>
          <w:u w:val="single"/>
        </w:rPr>
      </w:pPr>
    </w:p>
    <w:p w:rsidR="00BC7FB6" w:rsidRPr="001B44E1" w:rsidRDefault="00BC7FB6" w:rsidP="001B44E1">
      <w:pPr>
        <w:jc w:val="center"/>
        <w:rPr>
          <w:b/>
          <w:u w:val="single"/>
        </w:rPr>
      </w:pPr>
      <w:r>
        <w:rPr>
          <w:b/>
          <w:u w:val="single"/>
        </w:rPr>
        <w:t>Részletes indoklás</w:t>
      </w:r>
    </w:p>
    <w:p w:rsidR="001B44E1" w:rsidRDefault="001B44E1" w:rsidP="001B44E1">
      <w:pPr>
        <w:pStyle w:val="Szvegtrzs"/>
        <w:spacing w:before="240"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>A</w:t>
      </w:r>
      <w:r>
        <w:rPr>
          <w:snapToGrid w:val="0"/>
          <w:sz w:val="23"/>
          <w:szCs w:val="23"/>
        </w:rPr>
        <w:t xml:space="preserve"> helyi önkormányzatok és szerveik, a köztársasági megbízottak, valamint egyes centrális alárendeltségű szervek feladat- és hatásköreiről szóló 1991. évi XX.</w:t>
      </w:r>
      <w:r>
        <w:rPr>
          <w:sz w:val="23"/>
          <w:szCs w:val="23"/>
        </w:rPr>
        <w:t xml:space="preserve"> törvény 139. § (1) bekezdés a) pontjában foglalt kötelezettségemnek eleget téve, a mellékelt költségvetési rendelet-tervezetet terjesztem az önkormányzat képviselő-testülete elé.</w:t>
      </w:r>
    </w:p>
    <w:p w:rsidR="001B44E1" w:rsidRDefault="001B44E1" w:rsidP="001B44E1">
      <w:pPr>
        <w:spacing w:before="120"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A költségvetési rendelet tervezet összeállítása során érvényesítettük a 2020. évi költségvetési törvény már ismert számait és szabályozásait. A rendelettervezet táblázatait ennek megfelelően kellett elkészítenünk. </w:t>
      </w:r>
    </w:p>
    <w:p w:rsidR="001B44E1" w:rsidRDefault="001B44E1" w:rsidP="001B44E1">
      <w:pPr>
        <w:spacing w:before="120"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Csopak Község Önkormányzatának 2020. évre számított bevételi és kiadási </w:t>
      </w:r>
      <w:r>
        <w:rPr>
          <w:b/>
          <w:sz w:val="23"/>
          <w:szCs w:val="23"/>
        </w:rPr>
        <w:t>főösszege 1.281.068.282 Ft</w:t>
      </w:r>
      <w:r>
        <w:rPr>
          <w:sz w:val="23"/>
          <w:szCs w:val="23"/>
        </w:rPr>
        <w:t xml:space="preserve">. A főösszesítőből látható, hogy a bevételek és a kiadások közötti egyensúlyt sikerült megteremteni az éves költségvetés tervezése során. Az </w:t>
      </w:r>
      <w:r>
        <w:rPr>
          <w:b/>
          <w:sz w:val="23"/>
          <w:szCs w:val="23"/>
        </w:rPr>
        <w:t xml:space="preserve">általános tartalék összege 110.099.038 </w:t>
      </w:r>
      <w:proofErr w:type="gramStart"/>
      <w:r>
        <w:rPr>
          <w:b/>
          <w:sz w:val="23"/>
          <w:szCs w:val="23"/>
        </w:rPr>
        <w:t>Ft</w:t>
      </w:r>
      <w:r>
        <w:rPr>
          <w:sz w:val="23"/>
          <w:szCs w:val="23"/>
        </w:rPr>
        <w:t xml:space="preserve"> ,</w:t>
      </w:r>
      <w:proofErr w:type="gramEnd"/>
      <w:r>
        <w:rPr>
          <w:sz w:val="23"/>
          <w:szCs w:val="23"/>
        </w:rPr>
        <w:t xml:space="preserve"> amely a Bizottságok által megvitatott és javasolt beruházási és felújítási kiadások, valamint néhány kormányzati funkció dologi kiadásainak módosítása miatt csökkent a bizottsági előterjesztéshez képest.</w:t>
      </w:r>
    </w:p>
    <w:p w:rsidR="001B44E1" w:rsidRDefault="001B44E1" w:rsidP="001B44E1">
      <w:pPr>
        <w:spacing w:before="120"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>A költségvetési rendelet-tervezetet az intézményvezetőkkel egyeztetni kell és a Pénzügyi Bizottság véleményével kiegészítve kell a testület elé terjeszteni. Az intézményvezetőkkel az egyeztetés megtörtént.</w:t>
      </w:r>
    </w:p>
    <w:p w:rsidR="001B44E1" w:rsidRDefault="001B44E1" w:rsidP="001B44E1">
      <w:pPr>
        <w:spacing w:before="120"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>A bevételeknél számításba vettük a jogszabályi változásokat, a helyi rendeleteket a tavalyi év tényszámait, valamint az ASP adó szakrendszere által 2020.évre számított adóösszegeket. A közhatalmi bevételek (370.150.000 Ft) esetén jelentős változással számoltunk, hiszen a Testület emelte az adómértékeket, illetve szűkítette a mentességeket.</w:t>
      </w:r>
    </w:p>
    <w:p w:rsidR="001B44E1" w:rsidRDefault="001B44E1" w:rsidP="001B44E1">
      <w:pPr>
        <w:spacing w:before="120"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>Az önkormányzat saját működési bevételei között legnagyobb tételt a strand bevételek (nettó 141.000.000 Ft) és a stranddal kapcsolatos bérleti díjak (nettó 17.500.000 Ft) jelentik. Mindegyik bevétel esetében – mint minden frekventált idegenforgalmi településeknél – sok függ az időjárástól. Reményeink szerint az idei szezon is olyan jó lesz vendégforgalomban, mint a tavalyi év. Az elmúlt évi átlagok figyelembe véve terveztük be a strand bevételét. Az apartmanokból származó bevételek évről évre nőnek. 2020.évre ebből a típusú bevételből nettó 5.500.000Ft-ot terveztünk. A bevételekkel kapcsolatos ÁFA 48.060.000 Ft. Ez csupán érinti a költségvetés számait, átfutó tétel. Az egyéb bevétel sorra a működés során felmerülő, nem tipikus bevételeket terveztük (biztosítótól kapott összeg, belterületbe vonás bevétele).</w:t>
      </w:r>
    </w:p>
    <w:p w:rsidR="001B44E1" w:rsidRDefault="001B44E1" w:rsidP="001B44E1">
      <w:pPr>
        <w:spacing w:before="120"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lastRenderedPageBreak/>
        <w:t>Az állami támogatásokat részletesen a 8. melléklet tartalmazza.  Az állami támogatások 2020-ban 3.502.947 Ft-tal növekednek a 2019.évi eredeti támogatási adatokhoz képest. A tervezésnél nem számolhattunk a Hivatalra eső magasabb összegű támogatással, erre később ad az Államkincstár utasítást. Nem számolhattunk a DRV-nek átadásra kerülő kapcsolatos víz-és csatornatámogatással sem, ehhez is később kapunk adatot.</w:t>
      </w:r>
    </w:p>
    <w:p w:rsidR="001B44E1" w:rsidRDefault="001B44E1" w:rsidP="001B44E1">
      <w:pPr>
        <w:spacing w:before="120"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Támogatásértékű bevétel </w:t>
      </w:r>
      <w:proofErr w:type="spellStart"/>
      <w:r>
        <w:rPr>
          <w:sz w:val="23"/>
          <w:szCs w:val="23"/>
        </w:rPr>
        <w:t>ÁH-n</w:t>
      </w:r>
      <w:proofErr w:type="spellEnd"/>
      <w:r>
        <w:rPr>
          <w:sz w:val="23"/>
          <w:szCs w:val="23"/>
        </w:rPr>
        <w:t xml:space="preserve"> belül Paloznak Község Önkormányzata által megállapodás alapján fizetett óvodai, hivatali támogatás került az eredeti előirányzatba, ez 13.371.000 Ft. A </w:t>
      </w:r>
      <w:proofErr w:type="spellStart"/>
      <w:r>
        <w:rPr>
          <w:sz w:val="23"/>
          <w:szCs w:val="23"/>
        </w:rPr>
        <w:t>TB-től</w:t>
      </w:r>
      <w:proofErr w:type="spellEnd"/>
      <w:r>
        <w:rPr>
          <w:sz w:val="23"/>
          <w:szCs w:val="23"/>
        </w:rPr>
        <w:t xml:space="preserve"> kapott támogatási összeget a védőnői és a háziorvosi feladatokra terveztük (26.000.000 Ft). A közfoglalkoztatottak bérének, járulékának finanszírozására 0 Ft-ot terveztünk, mert 2020-ben várhatóan nem foglalkoztatunk közfoglalkoztatottat. Egyéb működési célú támogatásként az EFO pályázat 2020.évre eső részét terveztük (20.413.239 Ft). Működési célú, államháztartáson kívülről kapott támogatásra 5.500.000 Ft-ot terveztünk, amely összegből a </w:t>
      </w:r>
      <w:proofErr w:type="spellStart"/>
      <w:r>
        <w:rPr>
          <w:sz w:val="23"/>
          <w:szCs w:val="23"/>
        </w:rPr>
        <w:t>Csopak-Info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Kft.-vel</w:t>
      </w:r>
      <w:proofErr w:type="spellEnd"/>
      <w:r>
        <w:rPr>
          <w:sz w:val="23"/>
          <w:szCs w:val="23"/>
        </w:rPr>
        <w:t xml:space="preserve"> szembeni követelésünk egy része 5 millió Ft, valamint 500.000 Ft egyéb működési bevétel</w:t>
      </w:r>
      <w:proofErr w:type="gramStart"/>
      <w:r>
        <w:rPr>
          <w:sz w:val="23"/>
          <w:szCs w:val="23"/>
        </w:rPr>
        <w:t>.,</w:t>
      </w:r>
      <w:proofErr w:type="gramEnd"/>
    </w:p>
    <w:p w:rsidR="001B44E1" w:rsidRDefault="001B44E1" w:rsidP="001B44E1">
      <w:pPr>
        <w:spacing w:before="120"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Ingatlan értékesítésként a 0193/7 és a 0194/1 </w:t>
      </w:r>
      <w:proofErr w:type="spellStart"/>
      <w:r>
        <w:rPr>
          <w:sz w:val="23"/>
          <w:szCs w:val="23"/>
        </w:rPr>
        <w:t>hrsz-ú</w:t>
      </w:r>
      <w:proofErr w:type="spellEnd"/>
      <w:r>
        <w:rPr>
          <w:sz w:val="23"/>
          <w:szCs w:val="23"/>
        </w:rPr>
        <w:t xml:space="preserve"> ingatlanok eladásával számoltunk, amelyekkel kapcsolatosan már van testületi döntés. (3.746.000 Ft)</w:t>
      </w:r>
    </w:p>
    <w:p w:rsidR="001B44E1" w:rsidRDefault="001B44E1" w:rsidP="001B44E1">
      <w:pPr>
        <w:spacing w:before="120"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A várható előző évi költségvetési maradvány az Önkormányzatnál (9.010.000 Ft) azonban még nem jelent ténylegesen elkölthető összeget, mert ez az összeg csupán a 2019.évi beszámoló </w:t>
      </w:r>
      <w:proofErr w:type="gramStart"/>
      <w:r>
        <w:rPr>
          <w:sz w:val="23"/>
          <w:szCs w:val="23"/>
        </w:rPr>
        <w:t>elkészülte után</w:t>
      </w:r>
      <w:proofErr w:type="gramEnd"/>
      <w:r>
        <w:rPr>
          <w:sz w:val="23"/>
          <w:szCs w:val="23"/>
        </w:rPr>
        <w:t xml:space="preserve"> realizálódhat. </w:t>
      </w:r>
    </w:p>
    <w:p w:rsidR="001B44E1" w:rsidRDefault="001B44E1" w:rsidP="001B44E1">
      <w:pPr>
        <w:spacing w:before="120"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A forgatási célú értékpapír eladása (99.710.000 Ft) névértéken került a bevételi előirányzatba, mert a kamatokat a kereskedelmi bank minden </w:t>
      </w:r>
      <w:proofErr w:type="gramStart"/>
      <w:r>
        <w:rPr>
          <w:sz w:val="23"/>
          <w:szCs w:val="23"/>
        </w:rPr>
        <w:t>évben júniusban</w:t>
      </w:r>
      <w:proofErr w:type="gramEnd"/>
      <w:r>
        <w:rPr>
          <w:sz w:val="23"/>
          <w:szCs w:val="23"/>
        </w:rPr>
        <w:t xml:space="preserve"> fizeti. </w:t>
      </w:r>
    </w:p>
    <w:p w:rsidR="001B44E1" w:rsidRDefault="001B44E1" w:rsidP="001B44E1">
      <w:pPr>
        <w:spacing w:before="120"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A Mandulavirág Óvoda bevételeit az 5. </w:t>
      </w:r>
      <w:proofErr w:type="spellStart"/>
      <w:r>
        <w:rPr>
          <w:sz w:val="23"/>
          <w:szCs w:val="23"/>
        </w:rPr>
        <w:t>sz</w:t>
      </w:r>
      <w:proofErr w:type="spellEnd"/>
      <w:r>
        <w:rPr>
          <w:sz w:val="23"/>
          <w:szCs w:val="23"/>
        </w:rPr>
        <w:t xml:space="preserve"> melléklet tartalmazza.  Ebben a mellékletben külön látható mind az óvodai </w:t>
      </w:r>
      <w:proofErr w:type="gramStart"/>
      <w:r>
        <w:rPr>
          <w:sz w:val="23"/>
          <w:szCs w:val="23"/>
        </w:rPr>
        <w:t>nevelés ,</w:t>
      </w:r>
      <w:proofErr w:type="gramEnd"/>
      <w:r>
        <w:rPr>
          <w:sz w:val="23"/>
          <w:szCs w:val="23"/>
        </w:rPr>
        <w:t xml:space="preserve"> mind a konyha költségvetése. A konyha bevétele az étkeztetésből származik. A konyha nem csupán az óvodások, a szociális étkezők, az alkalmazottak étkezését szolgálja, hanem a helyi Általános Iskola, valamint az Üdülőfaluban nyaraló vendégeket is ellátja. </w:t>
      </w:r>
    </w:p>
    <w:p w:rsidR="001B44E1" w:rsidRDefault="001B44E1" w:rsidP="001B44E1">
      <w:pPr>
        <w:spacing w:before="120"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A Közös Hivatal bevételeit a 6. számú melléklet tartalmazza, itt nem terveztünk intézményi bevételt. </w:t>
      </w:r>
    </w:p>
    <w:p w:rsidR="001B44E1" w:rsidRDefault="001B44E1" w:rsidP="001B44E1">
      <w:pPr>
        <w:spacing w:before="120"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A 2020. évi költségvetésben a Polgármesterrel, Jegyzővel, az Óvodavezetővel, a falugondnokkal és a strandgondnokkal egyeztettük a szükséges létszámot és annak elosztását a különböző feladatokra. Az Óvodai nevelés statisztikai létszáma 2020.évre 13 fő, a konyha létszáma 8 fő, a Közös Hivatal létszáma 18 fő (adóellenőrrel), az Önkormányzat átlagos statisztikai létszáma pedig 34 fő. </w:t>
      </w:r>
    </w:p>
    <w:p w:rsidR="001B44E1" w:rsidRDefault="001B44E1" w:rsidP="001B44E1">
      <w:pPr>
        <w:spacing w:before="120" w:line="276" w:lineRule="auto"/>
        <w:jc w:val="both"/>
        <w:rPr>
          <w:sz w:val="23"/>
          <w:szCs w:val="23"/>
          <w:u w:val="single"/>
        </w:rPr>
      </w:pPr>
      <w:r>
        <w:rPr>
          <w:sz w:val="23"/>
          <w:szCs w:val="23"/>
        </w:rPr>
        <w:t xml:space="preserve"> A személyi juttatásokat a tényleges létszámok alapul vételével határoztuk meg. Figyelembe vettük az év közben várható változásokat és az időszakos feladatok ellátásához szükséges létszámot. A 2020. évben hatályos jogszabály szerint ismételten megemelkedett a minimálbér és a garantált bérminimum. A köztisztviselői illetményalapot előző évben 46.380 Ft-ra emeltük. A személyi juttatások az alapilletményeket, az illetmény eltérítéseket, a pótlékokat, a </w:t>
      </w:r>
      <w:proofErr w:type="spellStart"/>
      <w:r>
        <w:rPr>
          <w:sz w:val="23"/>
          <w:szCs w:val="23"/>
        </w:rPr>
        <w:t>cafeteriát</w:t>
      </w:r>
      <w:proofErr w:type="spellEnd"/>
      <w:r>
        <w:rPr>
          <w:sz w:val="23"/>
          <w:szCs w:val="23"/>
        </w:rPr>
        <w:t xml:space="preserve">, az étkezést, munkába járás költségtérítését és 1 havi illetménynek megfelelő jutalom keretet tartalmaznak. A munkáltatói járulék (szociális hozzájárulási adó) összege 17,5%, a </w:t>
      </w:r>
      <w:proofErr w:type="spellStart"/>
      <w:r>
        <w:rPr>
          <w:sz w:val="23"/>
          <w:szCs w:val="23"/>
        </w:rPr>
        <w:t>cafetéria</w:t>
      </w:r>
      <w:proofErr w:type="spellEnd"/>
      <w:r>
        <w:rPr>
          <w:sz w:val="23"/>
          <w:szCs w:val="23"/>
        </w:rPr>
        <w:t xml:space="preserve"> adóterhe 2020-ban 32,5%.</w:t>
      </w:r>
    </w:p>
    <w:p w:rsidR="001B44E1" w:rsidRDefault="001B44E1" w:rsidP="001B44E1">
      <w:pPr>
        <w:spacing w:before="120"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Az Önkormányzatnál a személyi juttatás emelkedésének oka (3. </w:t>
      </w:r>
      <w:proofErr w:type="gramStart"/>
      <w:r>
        <w:rPr>
          <w:sz w:val="23"/>
          <w:szCs w:val="23"/>
        </w:rPr>
        <w:t>melléklet )</w:t>
      </w:r>
      <w:proofErr w:type="gramEnd"/>
      <w:r>
        <w:rPr>
          <w:sz w:val="23"/>
          <w:szCs w:val="23"/>
        </w:rPr>
        <w:t xml:space="preserve"> a minimálbér és a garantált bérminimum emelkedése, az illetmény eltérítések költségeinek és az EFOP pályázattal kapcsolatos személyi juttatások tervezése. </w:t>
      </w:r>
    </w:p>
    <w:p w:rsidR="001B44E1" w:rsidRDefault="001B44E1" w:rsidP="001B44E1">
      <w:pPr>
        <w:spacing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>A dologi kiadások esetében a szokásos működést alapul véve terveztük meg a költségeket, kiegészítve a pályázatokkal kapcsolatos kiadásokkal és a háziorvosi feladattal várható többletkiadásokkal.</w:t>
      </w:r>
    </w:p>
    <w:p w:rsidR="001B44E1" w:rsidRDefault="001B44E1" w:rsidP="001B44E1">
      <w:pPr>
        <w:spacing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Az intézményfinanszírozás eredeti előirányzata 214.087.860 Ft. Ez tartalmazza a Közös Hivatal és a Mandulavirág Óvoda támogatását. </w:t>
      </w:r>
    </w:p>
    <w:p w:rsidR="001B44E1" w:rsidRDefault="001B44E1" w:rsidP="001B44E1">
      <w:pPr>
        <w:spacing w:before="60"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A működési célú támogatások közé (4. sz. melléklet) a szerződés szerinti társulási feladatok összegét </w:t>
      </w:r>
      <w:proofErr w:type="gramStart"/>
      <w:r>
        <w:rPr>
          <w:sz w:val="23"/>
          <w:szCs w:val="23"/>
        </w:rPr>
        <w:t>( belső</w:t>
      </w:r>
      <w:proofErr w:type="gramEnd"/>
      <w:r>
        <w:rPr>
          <w:sz w:val="23"/>
          <w:szCs w:val="23"/>
        </w:rPr>
        <w:t xml:space="preserve"> ellenőr,egyéb társulásban elvégzendő feladatok), a Rendőrség támogatását, a Csopaki Református Általános Iskola szerződés alapján vállalt támogatását, , valamint az ún. </w:t>
      </w:r>
      <w:proofErr w:type="gramStart"/>
      <w:r>
        <w:rPr>
          <w:sz w:val="23"/>
          <w:szCs w:val="23"/>
        </w:rPr>
        <w:t>civil</w:t>
      </w:r>
      <w:proofErr w:type="gramEnd"/>
      <w:r>
        <w:rPr>
          <w:sz w:val="23"/>
          <w:szCs w:val="23"/>
        </w:rPr>
        <w:t xml:space="preserve"> szervezetek pályázatára szánt összegeket építettük be. </w:t>
      </w:r>
    </w:p>
    <w:p w:rsidR="001B44E1" w:rsidRDefault="001B44E1" w:rsidP="001B44E1">
      <w:pPr>
        <w:spacing w:before="60"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Az önkormányzat által adható juttatások 2015.évtől, a Szociális törvény változásával jelentősen átalakultak. Az önkormányzat települési támogatást nyújthat. A jogosultságokról, a támogatások </w:t>
      </w:r>
      <w:proofErr w:type="gramStart"/>
      <w:r>
        <w:rPr>
          <w:sz w:val="23"/>
          <w:szCs w:val="23"/>
        </w:rPr>
        <w:t>mikéntjéről  szociális</w:t>
      </w:r>
      <w:proofErr w:type="gramEnd"/>
      <w:r>
        <w:rPr>
          <w:sz w:val="23"/>
          <w:szCs w:val="23"/>
        </w:rPr>
        <w:t xml:space="preserve"> rendeletet kellett alkotni</w:t>
      </w:r>
      <w:r>
        <w:rPr>
          <w:rStyle w:val="textexposedshow"/>
          <w:sz w:val="23"/>
          <w:szCs w:val="23"/>
        </w:rPr>
        <w:t>.</w:t>
      </w:r>
      <w:r>
        <w:rPr>
          <w:sz w:val="23"/>
          <w:szCs w:val="23"/>
        </w:rPr>
        <w:t xml:space="preserve">. </w:t>
      </w:r>
    </w:p>
    <w:p w:rsidR="001B44E1" w:rsidRDefault="001B44E1" w:rsidP="001B44E1">
      <w:pPr>
        <w:spacing w:before="60"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>A 2020.évi szociális feladatokra 15.500.000 Ft-ot terveztünk, ezzel szemben az állami támogatás összege csupán 6.079.000 Ft. Az összeget a 4. tábla tartalmazza</w:t>
      </w:r>
    </w:p>
    <w:p w:rsidR="001B44E1" w:rsidRDefault="001B44E1" w:rsidP="001B44E1">
      <w:pPr>
        <w:spacing w:before="60"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A fejlesztési pénzeszköz átadásoknál két alapot hoztunk létre a vállalkozások és az idegenforgalmi szálláshely kiadással foglalkozók megsegítésére. A 2019.évi befolyt iparűzési adó és a </w:t>
      </w:r>
      <w:proofErr w:type="spellStart"/>
      <w:r>
        <w:rPr>
          <w:sz w:val="23"/>
          <w:szCs w:val="23"/>
        </w:rPr>
        <w:t>kurtaxa</w:t>
      </w:r>
      <w:proofErr w:type="spellEnd"/>
      <w:r>
        <w:rPr>
          <w:sz w:val="23"/>
          <w:szCs w:val="23"/>
        </w:rPr>
        <w:t xml:space="preserve"> bevétel 10%-át elkülönítettük és pályázat alapján fizetjük ki a jogosultaknak. </w:t>
      </w:r>
    </w:p>
    <w:p w:rsidR="001B44E1" w:rsidRDefault="001B44E1" w:rsidP="001B44E1">
      <w:pPr>
        <w:spacing w:before="60"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>Munkáltatói kölcsönre (lakásépítéshez) 2020.évben 1.000.000 Ft-ot javaslok tervezni a jelentős építőipari árak emelkedése miatt.</w:t>
      </w:r>
    </w:p>
    <w:p w:rsidR="001B44E1" w:rsidRDefault="001B44E1" w:rsidP="001B44E1">
      <w:pPr>
        <w:spacing w:before="120"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>Az Óvoda személyi juttatásai 1 óvónő nyugdíjba vonulása, felmentési idő megváltása és a kötelező béremelések miatt emelkednek. A Konyha személyi juttatásait a 2020.évi béremelés miatt jelentkező többletköltségek növelik.</w:t>
      </w:r>
    </w:p>
    <w:p w:rsidR="001B44E1" w:rsidRDefault="001B44E1" w:rsidP="001B44E1">
      <w:pPr>
        <w:spacing w:before="120"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A Közös Hivatalnál a személyi juttatások a 2020.évi béremelés mellett 2 fő törzsgárda jutalmát, illetve 1 fő jubileumi jutalmát is tartalmazzák. </w:t>
      </w:r>
    </w:p>
    <w:p w:rsidR="001B44E1" w:rsidRDefault="001B44E1" w:rsidP="001B44E1">
      <w:pPr>
        <w:spacing w:before="120" w:after="120"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>Az Önkormányzat a 2020.évi koncepciójával összhangban a 7. mellékletben soroltuk fel a felhalmozási kiadásokat. A pályázatokkal kapcsolatos fejlesztési célú kiadások szintén felsorolásra kerültek ebben a „fejlesztési” táblában. Itt szerepel a feladatalapú támogatásra kötelezően felhasználandó tétel beruházási része is (közvilágítás 3.808.000 Ft). Az Óvodánál és a Hivatalnál is szükségesek beruházások, ezeket az 5. és a 6. táblában terveztük a koncepció alapján.</w:t>
      </w:r>
    </w:p>
    <w:p w:rsidR="001B44E1" w:rsidRDefault="001B44E1" w:rsidP="001B44E1">
      <w:pPr>
        <w:spacing w:after="120" w:line="276" w:lineRule="auto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A 8. számú melléklet tartalmazza az Önkormányzat és az Óvoda működésének általános támogatását eredeti előirányzatként, ami az év folyamán pozitív irányban változhat.</w:t>
      </w:r>
    </w:p>
    <w:p w:rsidR="001B44E1" w:rsidRDefault="001B44E1" w:rsidP="001B44E1">
      <w:pPr>
        <w:spacing w:after="120" w:line="276" w:lineRule="auto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A 9. számú melléklet az Önkormányzat pénzforgalmi mérlegeit tartalmazza.</w:t>
      </w:r>
    </w:p>
    <w:p w:rsidR="001B44E1" w:rsidRDefault="001B44E1" w:rsidP="001B44E1">
      <w:pPr>
        <w:spacing w:after="120" w:line="276" w:lineRule="auto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A 10. melléklet az Önkormányzat Európai Uniós forrásból (EFOP pályázat) megvalósítandó fejlesztéseit tartalmazza.</w:t>
      </w:r>
    </w:p>
    <w:p w:rsidR="001B44E1" w:rsidRDefault="001B44E1" w:rsidP="001B44E1">
      <w:pPr>
        <w:spacing w:after="120" w:line="276" w:lineRule="auto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A 11. melléklet a pénzügyi likviditási terv, amely a várható pénzmozgásokat mutatja intézményenként 2020.évre. </w:t>
      </w:r>
    </w:p>
    <w:p w:rsidR="001B44E1" w:rsidRDefault="001B44E1" w:rsidP="001B44E1">
      <w:pPr>
        <w:spacing w:after="120" w:line="276" w:lineRule="auto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A 12. melléklet az Önkormányzat által nyújtott kölcsönök várható állományát tartalmazza 3 évre. </w:t>
      </w:r>
    </w:p>
    <w:p w:rsidR="001B44E1" w:rsidRDefault="001B44E1" w:rsidP="001B44E1">
      <w:pPr>
        <w:spacing w:after="120" w:line="276" w:lineRule="auto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Az Önkormányzatnak nincsenek hosszú lejáratú kötelezettségei, ezt a 13. melléklet tartalmazza.</w:t>
      </w:r>
    </w:p>
    <w:p w:rsidR="001B44E1" w:rsidRDefault="001B44E1" w:rsidP="001B44E1">
      <w:pPr>
        <w:spacing w:line="276" w:lineRule="auto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A 14. melléklet az Önkormányzat által, 2020. évben nyújtandó közvetett támogatások várható összegeit tartalmazza.</w:t>
      </w:r>
    </w:p>
    <w:p w:rsidR="00424009" w:rsidRPr="001B44E1" w:rsidRDefault="001B44E1" w:rsidP="001B44E1">
      <w:pPr>
        <w:spacing w:line="276" w:lineRule="auto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A 15. melléklet az Önkormányzat 3 éves működési és fejlesztési célú bevételeit és kiadásait tartalmazza mérleg formában.</w:t>
      </w:r>
    </w:p>
    <w:p w:rsidR="00EA1600" w:rsidRPr="00BC7FB6" w:rsidRDefault="00BC7FB6" w:rsidP="00BC7FB6">
      <w:pPr>
        <w:jc w:val="center"/>
        <w:rPr>
          <w:i/>
        </w:rPr>
      </w:pPr>
      <w:r w:rsidRPr="00BC7FB6">
        <w:rPr>
          <w:i/>
        </w:rPr>
        <w:t xml:space="preserve">Dr. Szántód Anita </w:t>
      </w:r>
      <w:proofErr w:type="spellStart"/>
      <w:r w:rsidRPr="00BC7FB6">
        <w:rPr>
          <w:i/>
        </w:rPr>
        <w:t>sk</w:t>
      </w:r>
      <w:proofErr w:type="spellEnd"/>
      <w:r>
        <w:rPr>
          <w:i/>
        </w:rPr>
        <w:t>.</w:t>
      </w:r>
    </w:p>
    <w:p w:rsidR="00BA59EB" w:rsidRPr="00BA59EB" w:rsidRDefault="00BC7FB6" w:rsidP="00424009">
      <w:pPr>
        <w:jc w:val="center"/>
        <w:rPr>
          <w:rFonts w:ascii="Comic Sans MS" w:hAnsi="Comic Sans MS"/>
          <w:sz w:val="22"/>
          <w:szCs w:val="22"/>
        </w:rPr>
      </w:pPr>
      <w:proofErr w:type="gramStart"/>
      <w:r w:rsidRPr="00BC7FB6">
        <w:rPr>
          <w:i/>
        </w:rPr>
        <w:t>jegyző</w:t>
      </w:r>
      <w:bookmarkStart w:id="0" w:name="_GoBack"/>
      <w:bookmarkEnd w:id="0"/>
      <w:proofErr w:type="gramEnd"/>
    </w:p>
    <w:sectPr w:rsidR="00BA59EB" w:rsidRPr="00BA59EB" w:rsidSect="00BA59EB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1699" w:rsidRDefault="00471699" w:rsidP="00BA59EB">
      <w:r>
        <w:separator/>
      </w:r>
    </w:p>
  </w:endnote>
  <w:endnote w:type="continuationSeparator" w:id="0">
    <w:p w:rsidR="00471699" w:rsidRDefault="00471699" w:rsidP="00BA5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1699" w:rsidRDefault="00471699" w:rsidP="00BA59EB">
      <w:r>
        <w:separator/>
      </w:r>
    </w:p>
  </w:footnote>
  <w:footnote w:type="continuationSeparator" w:id="0">
    <w:p w:rsidR="00471699" w:rsidRDefault="00471699" w:rsidP="00BA59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C355A9A"/>
    <w:multiLevelType w:val="hybridMultilevel"/>
    <w:tmpl w:val="0FE04CAA"/>
    <w:lvl w:ilvl="0" w:tplc="ED86CE76">
      <w:start w:val="2019"/>
      <w:numFmt w:val="bullet"/>
      <w:lvlText w:val="-"/>
      <w:lvlJc w:val="left"/>
      <w:pPr>
        <w:ind w:left="720" w:hanging="360"/>
      </w:pPr>
      <w:rPr>
        <w:rFonts w:ascii="Comic Sans MS" w:eastAsia="Calibri" w:hAnsi="Comic Sans MS" w:cs="TimesNewRomanPSMT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5A7FEA"/>
    <w:multiLevelType w:val="hybridMultilevel"/>
    <w:tmpl w:val="5A003130"/>
    <w:lvl w:ilvl="0" w:tplc="5BFEADA0">
      <w:start w:val="1"/>
      <w:numFmt w:val="upperRoman"/>
      <w:lvlText w:val="%1."/>
      <w:lvlJc w:val="left"/>
      <w:pPr>
        <w:ind w:left="1080" w:hanging="72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9C1ADA"/>
    <w:multiLevelType w:val="multilevel"/>
    <w:tmpl w:val="3D4298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4">
    <w:nsid w:val="753E0B27"/>
    <w:multiLevelType w:val="hybridMultilevel"/>
    <w:tmpl w:val="D5525FD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D49"/>
    <w:rsid w:val="000A027F"/>
    <w:rsid w:val="00153B12"/>
    <w:rsid w:val="001B44E1"/>
    <w:rsid w:val="00233027"/>
    <w:rsid w:val="002776A5"/>
    <w:rsid w:val="002A557A"/>
    <w:rsid w:val="00362093"/>
    <w:rsid w:val="00424009"/>
    <w:rsid w:val="00471699"/>
    <w:rsid w:val="00583513"/>
    <w:rsid w:val="00875305"/>
    <w:rsid w:val="00A805EC"/>
    <w:rsid w:val="00B36170"/>
    <w:rsid w:val="00B40D49"/>
    <w:rsid w:val="00BA59EB"/>
    <w:rsid w:val="00BC7FB6"/>
    <w:rsid w:val="00C3595D"/>
    <w:rsid w:val="00EA1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40D49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BA59E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A59EB"/>
    <w:rPr>
      <w:rFonts w:ascii="Times New Roman" w:eastAsia="Calibri" w:hAnsi="Times New Roman" w:cs="Times New Roman"/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BA59E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A59EB"/>
    <w:rPr>
      <w:rFonts w:ascii="Times New Roman" w:eastAsia="Calibri" w:hAnsi="Times New Roman" w:cs="Times New Roman"/>
      <w:sz w:val="24"/>
      <w:szCs w:val="24"/>
    </w:rPr>
  </w:style>
  <w:style w:type="character" w:styleId="Hiperhivatkozs">
    <w:name w:val="Hyperlink"/>
    <w:basedOn w:val="Bekezdsalapbettpusa"/>
    <w:uiPriority w:val="99"/>
    <w:semiHidden/>
    <w:unhideWhenUsed/>
    <w:rsid w:val="00BC7FB6"/>
    <w:rPr>
      <w:color w:val="0000FF" w:themeColor="hyperlink"/>
      <w:u w:val="single"/>
    </w:rPr>
  </w:style>
  <w:style w:type="paragraph" w:styleId="Szvegtrzs">
    <w:name w:val="Body Text"/>
    <w:basedOn w:val="Norml"/>
    <w:link w:val="SzvegtrzsChar"/>
    <w:semiHidden/>
    <w:unhideWhenUsed/>
    <w:rsid w:val="001B44E1"/>
    <w:rPr>
      <w:rFonts w:eastAsia="Times New Roman"/>
      <w:sz w:val="28"/>
      <w:lang w:eastAsia="hu-HU"/>
    </w:rPr>
  </w:style>
  <w:style w:type="character" w:customStyle="1" w:styleId="SzvegtrzsChar">
    <w:name w:val="Szövegtörzs Char"/>
    <w:basedOn w:val="Bekezdsalapbettpusa"/>
    <w:link w:val="Szvegtrzs"/>
    <w:semiHidden/>
    <w:rsid w:val="001B44E1"/>
    <w:rPr>
      <w:rFonts w:ascii="Times New Roman" w:eastAsia="Times New Roman" w:hAnsi="Times New Roman" w:cs="Times New Roman"/>
      <w:sz w:val="28"/>
      <w:szCs w:val="24"/>
      <w:lang w:eastAsia="hu-HU"/>
    </w:rPr>
  </w:style>
  <w:style w:type="character" w:customStyle="1" w:styleId="textexposedshow">
    <w:name w:val="text_exposed_show"/>
    <w:rsid w:val="001B44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40D49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BA59E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A59EB"/>
    <w:rPr>
      <w:rFonts w:ascii="Times New Roman" w:eastAsia="Calibri" w:hAnsi="Times New Roman" w:cs="Times New Roman"/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BA59E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A59EB"/>
    <w:rPr>
      <w:rFonts w:ascii="Times New Roman" w:eastAsia="Calibri" w:hAnsi="Times New Roman" w:cs="Times New Roman"/>
      <w:sz w:val="24"/>
      <w:szCs w:val="24"/>
    </w:rPr>
  </w:style>
  <w:style w:type="character" w:styleId="Hiperhivatkozs">
    <w:name w:val="Hyperlink"/>
    <w:basedOn w:val="Bekezdsalapbettpusa"/>
    <w:uiPriority w:val="99"/>
    <w:semiHidden/>
    <w:unhideWhenUsed/>
    <w:rsid w:val="00BC7FB6"/>
    <w:rPr>
      <w:color w:val="0000FF" w:themeColor="hyperlink"/>
      <w:u w:val="single"/>
    </w:rPr>
  </w:style>
  <w:style w:type="paragraph" w:styleId="Szvegtrzs">
    <w:name w:val="Body Text"/>
    <w:basedOn w:val="Norml"/>
    <w:link w:val="SzvegtrzsChar"/>
    <w:semiHidden/>
    <w:unhideWhenUsed/>
    <w:rsid w:val="001B44E1"/>
    <w:rPr>
      <w:rFonts w:eastAsia="Times New Roman"/>
      <w:sz w:val="28"/>
      <w:lang w:eastAsia="hu-HU"/>
    </w:rPr>
  </w:style>
  <w:style w:type="character" w:customStyle="1" w:styleId="SzvegtrzsChar">
    <w:name w:val="Szövegtörzs Char"/>
    <w:basedOn w:val="Bekezdsalapbettpusa"/>
    <w:link w:val="Szvegtrzs"/>
    <w:semiHidden/>
    <w:rsid w:val="001B44E1"/>
    <w:rPr>
      <w:rFonts w:ascii="Times New Roman" w:eastAsia="Times New Roman" w:hAnsi="Times New Roman" w:cs="Times New Roman"/>
      <w:sz w:val="28"/>
      <w:szCs w:val="24"/>
      <w:lang w:eastAsia="hu-HU"/>
    </w:rPr>
  </w:style>
  <w:style w:type="character" w:customStyle="1" w:styleId="textexposedshow">
    <w:name w:val="text_exposed_show"/>
    <w:rsid w:val="001B44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54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u.wikipedia.org/wiki/Finansz%C3%ADroz%C3%A1s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1301</Words>
  <Characters>8977</Characters>
  <Application>Microsoft Office Word</Application>
  <DocSecurity>0</DocSecurity>
  <Lines>74</Lines>
  <Paragraphs>20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dcterms:created xsi:type="dcterms:W3CDTF">2020-02-13T14:20:00Z</dcterms:created>
  <dcterms:modified xsi:type="dcterms:W3CDTF">2020-02-13T14:20:00Z</dcterms:modified>
</cp:coreProperties>
</file>