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B15" w:rsidRPr="00B60B15" w:rsidRDefault="00B60B15" w:rsidP="00B60B15">
      <w:pPr>
        <w:spacing w:after="160" w:line="300" w:lineRule="auto"/>
        <w:rPr>
          <w:rFonts w:cs="Tahoma"/>
          <w:sz w:val="24"/>
          <w:szCs w:val="24"/>
        </w:rPr>
      </w:pPr>
    </w:p>
    <w:p w:rsidR="00B60B15" w:rsidRPr="00B60B15" w:rsidRDefault="00B60B15" w:rsidP="00B60B15">
      <w:pPr>
        <w:jc w:val="both"/>
        <w:rPr>
          <w:rFonts w:cs="Tahoma"/>
          <w:sz w:val="24"/>
          <w:szCs w:val="24"/>
        </w:rPr>
      </w:pPr>
      <w:r w:rsidRPr="00B60B15">
        <w:rPr>
          <w:rFonts w:cs="Tahoma"/>
          <w:bCs/>
          <w:sz w:val="24"/>
          <w:szCs w:val="24"/>
        </w:rPr>
        <w:t xml:space="preserve">1. melléklet </w:t>
      </w:r>
      <w:r w:rsidRPr="00B60B15">
        <w:rPr>
          <w:rFonts w:cs="Tahoma"/>
          <w:sz w:val="24"/>
          <w:szCs w:val="24"/>
        </w:rPr>
        <w:t xml:space="preserve">a személyes gondoskodást nyújtó ellátásokról, azok igénybevételének rendjéről, a fizetendő térítési díjak megállapításáról szóló 8/2014. (III. 27.) önkormányzati rendelet módosításáról szóló </w:t>
      </w:r>
      <w:r>
        <w:rPr>
          <w:rFonts w:cs="Tahoma"/>
          <w:sz w:val="24"/>
          <w:szCs w:val="24"/>
        </w:rPr>
        <w:t>45</w:t>
      </w:r>
      <w:r w:rsidRPr="00B60B15">
        <w:rPr>
          <w:rFonts w:cs="Tahoma"/>
          <w:sz w:val="24"/>
          <w:szCs w:val="24"/>
        </w:rPr>
        <w:t>/2018. (</w:t>
      </w:r>
      <w:r>
        <w:rPr>
          <w:rFonts w:cs="Tahoma"/>
          <w:sz w:val="24"/>
          <w:szCs w:val="24"/>
        </w:rPr>
        <w:t>XII.15.</w:t>
      </w:r>
      <w:r w:rsidRPr="00B60B15">
        <w:rPr>
          <w:rFonts w:cs="Tahoma"/>
          <w:sz w:val="24"/>
          <w:szCs w:val="24"/>
        </w:rPr>
        <w:t>) önkormányzati rendelethez</w:t>
      </w:r>
    </w:p>
    <w:p w:rsidR="00B60B15" w:rsidRPr="00B60B15" w:rsidRDefault="00B60B15" w:rsidP="00B60B15">
      <w:pPr>
        <w:jc w:val="both"/>
        <w:rPr>
          <w:rFonts w:cs="Tahoma"/>
          <w:sz w:val="24"/>
          <w:szCs w:val="24"/>
        </w:rPr>
      </w:pPr>
    </w:p>
    <w:p w:rsidR="00B60B15" w:rsidRPr="00B60B15" w:rsidRDefault="00B60B15" w:rsidP="00B60B15">
      <w:pPr>
        <w:tabs>
          <w:tab w:val="left" w:pos="0"/>
        </w:tabs>
        <w:jc w:val="both"/>
        <w:rPr>
          <w:rFonts w:cs="Tahoma"/>
          <w:sz w:val="24"/>
          <w:szCs w:val="24"/>
        </w:rPr>
      </w:pPr>
      <w:r w:rsidRPr="00B60B15">
        <w:rPr>
          <w:rFonts w:cs="Tahoma"/>
          <w:sz w:val="24"/>
          <w:szCs w:val="24"/>
        </w:rPr>
        <w:t>„1. melléklet a személyes gondoskodást nyújtó ellátásokról, azok igénybevételének rendjéről, a fizetendő térítési díjak megállapításáról szóló 8/2014. (III. 27.)</w:t>
      </w:r>
      <w:r w:rsidRPr="00B60B15">
        <w:rPr>
          <w:rFonts w:cs="Tahoma"/>
          <w:b/>
          <w:sz w:val="24"/>
          <w:szCs w:val="24"/>
        </w:rPr>
        <w:t xml:space="preserve"> </w:t>
      </w:r>
      <w:r w:rsidRPr="00B60B15">
        <w:rPr>
          <w:rFonts w:cs="Tahoma"/>
          <w:sz w:val="24"/>
          <w:szCs w:val="24"/>
        </w:rPr>
        <w:t>önkormányzati rendelethez</w:t>
      </w:r>
    </w:p>
    <w:tbl>
      <w:tblPr>
        <w:tblW w:w="95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3969"/>
        <w:gridCol w:w="2835"/>
        <w:gridCol w:w="2380"/>
      </w:tblGrid>
      <w:tr w:rsidR="00B60B15" w:rsidRPr="00B60B15" w:rsidTr="006F3AEE">
        <w:trPr>
          <w:jc w:val="center"/>
        </w:trPr>
        <w:tc>
          <w:tcPr>
            <w:tcW w:w="392" w:type="dxa"/>
          </w:tcPr>
          <w:p w:rsidR="00B60B15" w:rsidRPr="00B60B15" w:rsidRDefault="00B60B15" w:rsidP="006F3AEE">
            <w:pPr>
              <w:jc w:val="center"/>
              <w:rPr>
                <w:rFonts w:cs="Tahoma"/>
                <w:b/>
                <w:sz w:val="24"/>
                <w:szCs w:val="24"/>
              </w:rPr>
            </w:pPr>
          </w:p>
        </w:tc>
        <w:tc>
          <w:tcPr>
            <w:tcW w:w="9184" w:type="dxa"/>
            <w:gridSpan w:val="3"/>
          </w:tcPr>
          <w:p w:rsidR="00B60B15" w:rsidRPr="00B60B15" w:rsidRDefault="00B60B15" w:rsidP="006F3AEE">
            <w:pPr>
              <w:jc w:val="center"/>
              <w:rPr>
                <w:rFonts w:cs="Tahoma"/>
                <w:sz w:val="24"/>
                <w:szCs w:val="24"/>
              </w:rPr>
            </w:pPr>
            <w:r w:rsidRPr="00B60B15">
              <w:rPr>
                <w:rFonts w:cs="Tahoma"/>
                <w:b/>
                <w:sz w:val="24"/>
                <w:szCs w:val="24"/>
              </w:rPr>
              <w:t>Göllesz Viktor Fogyatékos Személyek Nappali Intézménye</w:t>
            </w:r>
          </w:p>
        </w:tc>
      </w:tr>
      <w:tr w:rsidR="00B60B15" w:rsidRPr="00B60B15" w:rsidTr="006F3AEE">
        <w:trPr>
          <w:jc w:val="center"/>
        </w:trPr>
        <w:tc>
          <w:tcPr>
            <w:tcW w:w="392" w:type="dxa"/>
          </w:tcPr>
          <w:p w:rsidR="00B60B15" w:rsidRPr="00B60B15" w:rsidRDefault="00B60B15" w:rsidP="006F3AEE">
            <w:pPr>
              <w:jc w:val="center"/>
              <w:rPr>
                <w:rFonts w:cs="Tahoma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B60B15" w:rsidRPr="00B60B15" w:rsidRDefault="00B60B15" w:rsidP="006F3AEE">
            <w:pPr>
              <w:jc w:val="center"/>
              <w:rPr>
                <w:rFonts w:cs="Tahoma"/>
                <w:b/>
                <w:sz w:val="24"/>
                <w:szCs w:val="24"/>
              </w:rPr>
            </w:pPr>
            <w:r w:rsidRPr="00B60B15">
              <w:rPr>
                <w:rFonts w:cs="Tahoma"/>
                <w:b/>
                <w:sz w:val="24"/>
                <w:szCs w:val="24"/>
              </w:rPr>
              <w:t>A</w:t>
            </w:r>
          </w:p>
        </w:tc>
        <w:tc>
          <w:tcPr>
            <w:tcW w:w="2835" w:type="dxa"/>
          </w:tcPr>
          <w:p w:rsidR="00B60B15" w:rsidRPr="00B60B15" w:rsidRDefault="00B60B15" w:rsidP="006F3AEE">
            <w:pPr>
              <w:jc w:val="center"/>
              <w:rPr>
                <w:rFonts w:cs="Tahoma"/>
                <w:b/>
                <w:sz w:val="24"/>
                <w:szCs w:val="24"/>
              </w:rPr>
            </w:pPr>
            <w:r w:rsidRPr="00B60B15">
              <w:rPr>
                <w:rFonts w:cs="Tahoma"/>
                <w:b/>
                <w:sz w:val="24"/>
                <w:szCs w:val="24"/>
              </w:rPr>
              <w:t>B</w:t>
            </w:r>
          </w:p>
        </w:tc>
        <w:tc>
          <w:tcPr>
            <w:tcW w:w="2380" w:type="dxa"/>
          </w:tcPr>
          <w:p w:rsidR="00B60B15" w:rsidRPr="00B60B15" w:rsidRDefault="00B60B15" w:rsidP="006F3AEE">
            <w:pPr>
              <w:jc w:val="center"/>
              <w:rPr>
                <w:rFonts w:cs="Tahoma"/>
                <w:b/>
                <w:sz w:val="24"/>
                <w:szCs w:val="24"/>
              </w:rPr>
            </w:pPr>
            <w:r w:rsidRPr="00B60B15">
              <w:rPr>
                <w:rFonts w:cs="Tahoma"/>
                <w:b/>
                <w:sz w:val="24"/>
                <w:szCs w:val="24"/>
              </w:rPr>
              <w:t>C</w:t>
            </w:r>
          </w:p>
        </w:tc>
      </w:tr>
      <w:tr w:rsidR="00B60B15" w:rsidRPr="00B60B15" w:rsidTr="006F3AEE">
        <w:trPr>
          <w:trHeight w:val="900"/>
          <w:jc w:val="center"/>
        </w:trPr>
        <w:tc>
          <w:tcPr>
            <w:tcW w:w="392" w:type="dxa"/>
          </w:tcPr>
          <w:p w:rsidR="00B60B15" w:rsidRPr="00B60B15" w:rsidRDefault="00B60B15" w:rsidP="006F3AEE">
            <w:pPr>
              <w:jc w:val="center"/>
              <w:rPr>
                <w:rFonts w:cs="Tahoma"/>
                <w:b/>
                <w:sz w:val="24"/>
                <w:szCs w:val="24"/>
              </w:rPr>
            </w:pPr>
            <w:r w:rsidRPr="00B60B15">
              <w:rPr>
                <w:rFonts w:cs="Tahoma"/>
                <w:b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B60B15" w:rsidRPr="00B60B15" w:rsidRDefault="00B60B15" w:rsidP="006F3AEE">
            <w:pPr>
              <w:jc w:val="center"/>
              <w:rPr>
                <w:rFonts w:cs="Tahoma"/>
                <w:sz w:val="24"/>
                <w:szCs w:val="24"/>
              </w:rPr>
            </w:pPr>
            <w:r w:rsidRPr="00B60B15">
              <w:rPr>
                <w:rFonts w:cs="Tahoma"/>
                <w:sz w:val="24"/>
                <w:szCs w:val="24"/>
              </w:rPr>
              <w:t>Ellátás megnevezése</w:t>
            </w:r>
          </w:p>
        </w:tc>
        <w:tc>
          <w:tcPr>
            <w:tcW w:w="2835" w:type="dxa"/>
          </w:tcPr>
          <w:p w:rsidR="00B60B15" w:rsidRPr="00B60B15" w:rsidRDefault="00B60B15" w:rsidP="006F3AEE">
            <w:pPr>
              <w:jc w:val="center"/>
              <w:rPr>
                <w:rFonts w:cs="Tahoma"/>
                <w:b/>
                <w:sz w:val="24"/>
                <w:szCs w:val="24"/>
              </w:rPr>
            </w:pPr>
            <w:r w:rsidRPr="00B60B15">
              <w:rPr>
                <w:rFonts w:cs="Tahoma"/>
                <w:sz w:val="24"/>
                <w:szCs w:val="24"/>
              </w:rPr>
              <w:t>2018. évi szolgáltatási önköltség ellátási napra vetítve</w:t>
            </w:r>
          </w:p>
        </w:tc>
        <w:tc>
          <w:tcPr>
            <w:tcW w:w="2380" w:type="dxa"/>
          </w:tcPr>
          <w:p w:rsidR="00B60B15" w:rsidRPr="00B60B15" w:rsidRDefault="00B60B15" w:rsidP="006F3AEE">
            <w:pPr>
              <w:jc w:val="center"/>
              <w:rPr>
                <w:rFonts w:cs="Tahoma"/>
                <w:sz w:val="24"/>
                <w:szCs w:val="24"/>
              </w:rPr>
            </w:pPr>
            <w:r w:rsidRPr="00B60B15">
              <w:rPr>
                <w:rFonts w:cs="Tahoma"/>
                <w:sz w:val="24"/>
                <w:szCs w:val="24"/>
              </w:rPr>
              <w:t>Bruttó napi</w:t>
            </w:r>
          </w:p>
          <w:p w:rsidR="00B60B15" w:rsidRPr="00B60B15" w:rsidRDefault="00B60B15" w:rsidP="006F3AEE">
            <w:pPr>
              <w:jc w:val="center"/>
              <w:rPr>
                <w:rFonts w:cs="Tahoma"/>
                <w:sz w:val="24"/>
                <w:szCs w:val="24"/>
              </w:rPr>
            </w:pPr>
            <w:r w:rsidRPr="00B60B15">
              <w:rPr>
                <w:rFonts w:cs="Tahoma"/>
                <w:sz w:val="24"/>
                <w:szCs w:val="24"/>
              </w:rPr>
              <w:t>intézményi térítési díj</w:t>
            </w:r>
          </w:p>
        </w:tc>
      </w:tr>
      <w:tr w:rsidR="00B60B15" w:rsidRPr="00B60B15" w:rsidTr="006F3AEE">
        <w:trPr>
          <w:jc w:val="center"/>
        </w:trPr>
        <w:tc>
          <w:tcPr>
            <w:tcW w:w="392" w:type="dxa"/>
          </w:tcPr>
          <w:p w:rsidR="00B60B15" w:rsidRPr="00B60B15" w:rsidRDefault="00B60B15" w:rsidP="006F3AEE">
            <w:pPr>
              <w:jc w:val="center"/>
              <w:rPr>
                <w:rFonts w:cs="Tahoma"/>
                <w:b/>
                <w:sz w:val="24"/>
                <w:szCs w:val="24"/>
              </w:rPr>
            </w:pPr>
            <w:r w:rsidRPr="00B60B15">
              <w:rPr>
                <w:rFonts w:cs="Tahoma"/>
                <w:b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B60B15" w:rsidRPr="00B60B15" w:rsidRDefault="00B60B15" w:rsidP="006F3AEE">
            <w:pPr>
              <w:rPr>
                <w:rFonts w:cs="Tahoma"/>
                <w:sz w:val="24"/>
                <w:szCs w:val="24"/>
              </w:rPr>
            </w:pPr>
            <w:r w:rsidRPr="00B60B15">
              <w:rPr>
                <w:rFonts w:cs="Tahoma"/>
                <w:sz w:val="24"/>
                <w:szCs w:val="24"/>
              </w:rPr>
              <w:t>Fogyatékosok nappali ellátása (csak napközbeni tartózkodással)</w:t>
            </w:r>
          </w:p>
        </w:tc>
        <w:tc>
          <w:tcPr>
            <w:tcW w:w="2835" w:type="dxa"/>
          </w:tcPr>
          <w:p w:rsidR="00B60B15" w:rsidRPr="00B60B15" w:rsidRDefault="00B60B15" w:rsidP="006F3AEE">
            <w:pPr>
              <w:rPr>
                <w:rFonts w:cs="Tahoma"/>
                <w:sz w:val="24"/>
                <w:szCs w:val="24"/>
              </w:rPr>
            </w:pPr>
            <w:r w:rsidRPr="00B60B15">
              <w:rPr>
                <w:rFonts w:cs="Tahoma"/>
                <w:sz w:val="24"/>
                <w:szCs w:val="24"/>
              </w:rPr>
              <w:t>4.425 Ft</w:t>
            </w:r>
          </w:p>
        </w:tc>
        <w:tc>
          <w:tcPr>
            <w:tcW w:w="2380" w:type="dxa"/>
          </w:tcPr>
          <w:p w:rsidR="00B60B15" w:rsidRPr="00B60B15" w:rsidRDefault="00B60B15" w:rsidP="006F3AEE">
            <w:pPr>
              <w:jc w:val="center"/>
              <w:rPr>
                <w:rFonts w:cs="Tahoma"/>
                <w:sz w:val="24"/>
                <w:szCs w:val="24"/>
              </w:rPr>
            </w:pPr>
            <w:r w:rsidRPr="00B60B15">
              <w:rPr>
                <w:rFonts w:cs="Tahoma"/>
                <w:sz w:val="24"/>
                <w:szCs w:val="24"/>
              </w:rPr>
              <w:t>2.745 Ft</w:t>
            </w:r>
          </w:p>
        </w:tc>
      </w:tr>
      <w:tr w:rsidR="00B60B15" w:rsidRPr="00B60B15" w:rsidTr="006F3AEE">
        <w:trPr>
          <w:jc w:val="center"/>
        </w:trPr>
        <w:tc>
          <w:tcPr>
            <w:tcW w:w="392" w:type="dxa"/>
          </w:tcPr>
          <w:p w:rsidR="00B60B15" w:rsidRPr="00B60B15" w:rsidRDefault="00B60B15" w:rsidP="006F3AEE">
            <w:pPr>
              <w:jc w:val="center"/>
              <w:rPr>
                <w:rFonts w:cs="Tahoma"/>
                <w:b/>
                <w:sz w:val="24"/>
                <w:szCs w:val="24"/>
              </w:rPr>
            </w:pPr>
            <w:r w:rsidRPr="00B60B15">
              <w:rPr>
                <w:rFonts w:cs="Tahoma"/>
                <w:b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B60B15" w:rsidRPr="00B60B15" w:rsidRDefault="00B60B15" w:rsidP="006F3AEE">
            <w:pPr>
              <w:jc w:val="both"/>
              <w:rPr>
                <w:rFonts w:cs="Tahoma"/>
                <w:sz w:val="24"/>
                <w:szCs w:val="24"/>
              </w:rPr>
            </w:pPr>
            <w:r w:rsidRPr="00B60B15">
              <w:rPr>
                <w:rFonts w:cs="Tahoma"/>
                <w:sz w:val="24"/>
                <w:szCs w:val="24"/>
              </w:rPr>
              <w:t>Fogyatékosok nappali ellátása</w:t>
            </w:r>
          </w:p>
          <w:p w:rsidR="00B60B15" w:rsidRPr="00B60B15" w:rsidRDefault="00B60B15" w:rsidP="006F3AEE">
            <w:pPr>
              <w:rPr>
                <w:rFonts w:cs="Tahoma"/>
                <w:sz w:val="24"/>
                <w:szCs w:val="24"/>
              </w:rPr>
            </w:pPr>
            <w:r w:rsidRPr="00B60B15">
              <w:rPr>
                <w:rFonts w:cs="Tahoma"/>
                <w:sz w:val="24"/>
                <w:szCs w:val="24"/>
              </w:rPr>
              <w:t>(napközbeni tartózkodással és ott étkezéssel)</w:t>
            </w:r>
          </w:p>
        </w:tc>
        <w:tc>
          <w:tcPr>
            <w:tcW w:w="2835" w:type="dxa"/>
          </w:tcPr>
          <w:p w:rsidR="00B60B15" w:rsidRPr="00B60B15" w:rsidRDefault="00B60B15" w:rsidP="006F3AEE">
            <w:pPr>
              <w:rPr>
                <w:rFonts w:cs="Tahoma"/>
                <w:sz w:val="24"/>
                <w:szCs w:val="24"/>
              </w:rPr>
            </w:pPr>
            <w:r w:rsidRPr="00B60B15">
              <w:rPr>
                <w:rFonts w:cs="Tahoma"/>
                <w:sz w:val="24"/>
                <w:szCs w:val="24"/>
              </w:rPr>
              <w:t>5.465 Ft</w:t>
            </w:r>
          </w:p>
        </w:tc>
        <w:tc>
          <w:tcPr>
            <w:tcW w:w="2380" w:type="dxa"/>
          </w:tcPr>
          <w:p w:rsidR="00B60B15" w:rsidRPr="00B60B15" w:rsidRDefault="00B60B15" w:rsidP="006F3AEE">
            <w:pPr>
              <w:jc w:val="center"/>
              <w:rPr>
                <w:rFonts w:cs="Tahoma"/>
                <w:sz w:val="24"/>
                <w:szCs w:val="24"/>
              </w:rPr>
            </w:pPr>
            <w:r w:rsidRPr="00B60B15">
              <w:rPr>
                <w:rFonts w:cs="Tahoma"/>
                <w:sz w:val="24"/>
                <w:szCs w:val="24"/>
              </w:rPr>
              <w:t>3.780 Ft</w:t>
            </w:r>
          </w:p>
        </w:tc>
      </w:tr>
    </w:tbl>
    <w:p w:rsidR="00B60B15" w:rsidRPr="00B60B15" w:rsidRDefault="00B60B15" w:rsidP="00B60B15">
      <w:pPr>
        <w:autoSpaceDE w:val="0"/>
        <w:autoSpaceDN w:val="0"/>
        <w:adjustRightInd w:val="0"/>
        <w:rPr>
          <w:rFonts w:cs="Tahoma"/>
          <w:b/>
          <w:bCs/>
          <w:sz w:val="24"/>
          <w:szCs w:val="24"/>
        </w:rPr>
      </w:pP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26"/>
        <w:gridCol w:w="1843"/>
        <w:gridCol w:w="1559"/>
        <w:gridCol w:w="1701"/>
        <w:gridCol w:w="1276"/>
        <w:gridCol w:w="1417"/>
        <w:gridCol w:w="1418"/>
      </w:tblGrid>
      <w:tr w:rsidR="00B60B15" w:rsidRPr="00B60B15" w:rsidTr="006F3AEE">
        <w:trPr>
          <w:trHeight w:val="270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B60B15" w:rsidRPr="00B60B15" w:rsidRDefault="00B60B15" w:rsidP="006F3AEE">
            <w:pPr>
              <w:jc w:val="center"/>
              <w:rPr>
                <w:rFonts w:cs="Tahoma"/>
                <w:b/>
                <w:bCs/>
                <w:sz w:val="24"/>
                <w:szCs w:val="24"/>
              </w:rPr>
            </w:pPr>
            <w:r w:rsidRPr="00B60B15">
              <w:rPr>
                <w:rFonts w:cs="Tahoma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214" w:type="dxa"/>
            <w:gridSpan w:val="6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000000" w:fill="FFFFFF"/>
          </w:tcPr>
          <w:p w:rsidR="00B60B15" w:rsidRPr="00B60B15" w:rsidRDefault="00B60B15" w:rsidP="006F3AEE">
            <w:pPr>
              <w:jc w:val="center"/>
              <w:rPr>
                <w:rFonts w:cs="Tahoma"/>
                <w:b/>
                <w:bCs/>
                <w:sz w:val="24"/>
                <w:szCs w:val="24"/>
              </w:rPr>
            </w:pPr>
            <w:r w:rsidRPr="00B60B15">
              <w:rPr>
                <w:rFonts w:cs="Tahoma"/>
                <w:b/>
                <w:bCs/>
                <w:sz w:val="24"/>
                <w:szCs w:val="24"/>
              </w:rPr>
              <w:t>Veszprémi Bölcsődei és Egészségügyi Alapellátási Integrált Intézmény</w:t>
            </w:r>
          </w:p>
        </w:tc>
      </w:tr>
      <w:tr w:rsidR="00B60B15" w:rsidRPr="00B60B15" w:rsidTr="006F3AEE">
        <w:trPr>
          <w:trHeight w:val="270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B60B15" w:rsidRPr="00B60B15" w:rsidRDefault="00B60B15" w:rsidP="006F3AEE">
            <w:pPr>
              <w:jc w:val="center"/>
              <w:rPr>
                <w:rFonts w:cs="Tahoma"/>
                <w:b/>
                <w:bCs/>
                <w:sz w:val="24"/>
                <w:szCs w:val="24"/>
              </w:rPr>
            </w:pPr>
            <w:r w:rsidRPr="00B60B15">
              <w:rPr>
                <w:rFonts w:cs="Tahoma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B60B15" w:rsidRPr="00B60B15" w:rsidRDefault="00B60B15" w:rsidP="006F3AEE">
            <w:pPr>
              <w:jc w:val="center"/>
              <w:rPr>
                <w:rFonts w:cs="Tahoma"/>
                <w:b/>
                <w:bCs/>
                <w:sz w:val="24"/>
                <w:szCs w:val="24"/>
              </w:rPr>
            </w:pPr>
            <w:r w:rsidRPr="00B60B15">
              <w:rPr>
                <w:rFonts w:cs="Tahoma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B60B15" w:rsidRPr="00B60B15" w:rsidRDefault="00B60B15" w:rsidP="006F3AEE">
            <w:pPr>
              <w:jc w:val="center"/>
              <w:rPr>
                <w:rFonts w:cs="Tahoma"/>
                <w:b/>
                <w:bCs/>
                <w:sz w:val="24"/>
                <w:szCs w:val="24"/>
              </w:rPr>
            </w:pPr>
            <w:r w:rsidRPr="00B60B15">
              <w:rPr>
                <w:rFonts w:cs="Tahoma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B60B15" w:rsidRPr="00B60B15" w:rsidRDefault="00B60B15" w:rsidP="006F3AEE">
            <w:pPr>
              <w:jc w:val="center"/>
              <w:rPr>
                <w:rFonts w:cs="Tahoma"/>
                <w:b/>
                <w:bCs/>
                <w:sz w:val="24"/>
                <w:szCs w:val="24"/>
              </w:rPr>
            </w:pPr>
            <w:r w:rsidRPr="00B60B15">
              <w:rPr>
                <w:rFonts w:cs="Tahoma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B60B15" w:rsidRPr="00B60B15" w:rsidRDefault="00B60B15" w:rsidP="006F3AEE">
            <w:pPr>
              <w:jc w:val="center"/>
              <w:rPr>
                <w:rFonts w:cs="Tahoma"/>
                <w:b/>
                <w:bCs/>
                <w:sz w:val="24"/>
                <w:szCs w:val="24"/>
              </w:rPr>
            </w:pPr>
            <w:r w:rsidRPr="00B60B15">
              <w:rPr>
                <w:rFonts w:cs="Tahoma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B60B15" w:rsidRPr="00B60B15" w:rsidRDefault="00B60B15" w:rsidP="006F3AEE">
            <w:pPr>
              <w:jc w:val="center"/>
              <w:rPr>
                <w:rFonts w:cs="Tahoma"/>
                <w:b/>
                <w:bCs/>
                <w:sz w:val="24"/>
                <w:szCs w:val="24"/>
              </w:rPr>
            </w:pPr>
            <w:r w:rsidRPr="00B60B15">
              <w:rPr>
                <w:rFonts w:cs="Tahoma"/>
                <w:b/>
                <w:bCs/>
                <w:sz w:val="24"/>
                <w:szCs w:val="24"/>
              </w:rPr>
              <w:t>E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60B15" w:rsidRPr="00B60B15" w:rsidRDefault="00B60B15" w:rsidP="006F3AEE">
            <w:pPr>
              <w:jc w:val="center"/>
              <w:rPr>
                <w:rFonts w:cs="Tahoma"/>
                <w:b/>
                <w:bCs/>
                <w:sz w:val="24"/>
                <w:szCs w:val="24"/>
              </w:rPr>
            </w:pPr>
            <w:r w:rsidRPr="00B60B15">
              <w:rPr>
                <w:rFonts w:cs="Tahoma"/>
                <w:b/>
                <w:bCs/>
                <w:sz w:val="24"/>
                <w:szCs w:val="24"/>
              </w:rPr>
              <w:t>F</w:t>
            </w:r>
          </w:p>
        </w:tc>
      </w:tr>
      <w:tr w:rsidR="00B60B15" w:rsidRPr="00B60B15" w:rsidTr="006F3AEE">
        <w:trPr>
          <w:trHeight w:val="829"/>
        </w:trPr>
        <w:tc>
          <w:tcPr>
            <w:tcW w:w="426" w:type="dxa"/>
            <w:vMerge w:val="restart"/>
            <w:tcBorders>
              <w:top w:val="nil"/>
              <w:left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B60B15" w:rsidRPr="00B60B15" w:rsidRDefault="00B60B15" w:rsidP="006F3AEE">
            <w:pPr>
              <w:jc w:val="center"/>
              <w:rPr>
                <w:rFonts w:cs="Tahoma"/>
                <w:b/>
                <w:bCs/>
                <w:sz w:val="24"/>
                <w:szCs w:val="24"/>
              </w:rPr>
            </w:pPr>
            <w:r w:rsidRPr="00B60B15">
              <w:rPr>
                <w:rFonts w:cs="Tahoma"/>
                <w:b/>
                <w:bCs/>
                <w:sz w:val="24"/>
                <w:szCs w:val="24"/>
              </w:rPr>
              <w:t>1</w:t>
            </w:r>
          </w:p>
          <w:p w:rsidR="00B60B15" w:rsidRPr="00B60B15" w:rsidRDefault="00B60B15" w:rsidP="006F3AEE">
            <w:pPr>
              <w:jc w:val="center"/>
              <w:rPr>
                <w:rFonts w:cs="Tahoma"/>
                <w:b/>
                <w:bCs/>
                <w:sz w:val="24"/>
                <w:szCs w:val="24"/>
              </w:rPr>
            </w:pPr>
            <w:r w:rsidRPr="00B60B15">
              <w:rPr>
                <w:rFonts w:cs="Tahoma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center"/>
          </w:tcPr>
          <w:p w:rsidR="00B60B15" w:rsidRPr="00B60B15" w:rsidRDefault="00B60B15" w:rsidP="006F3AEE">
            <w:pPr>
              <w:rPr>
                <w:rFonts w:cs="Tahoma"/>
                <w:sz w:val="24"/>
                <w:szCs w:val="24"/>
              </w:rPr>
            </w:pPr>
            <w:r w:rsidRPr="00B60B15">
              <w:rPr>
                <w:rFonts w:cs="Tahoma"/>
                <w:sz w:val="24"/>
                <w:szCs w:val="24"/>
              </w:rPr>
              <w:t>Ellátás megnevezése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0B15" w:rsidRPr="00B60B15" w:rsidRDefault="00B60B15" w:rsidP="006F3AEE">
            <w:pPr>
              <w:rPr>
                <w:rFonts w:cs="Tahoma"/>
                <w:sz w:val="24"/>
                <w:szCs w:val="24"/>
              </w:rPr>
            </w:pPr>
            <w:r w:rsidRPr="00B60B15">
              <w:rPr>
                <w:rFonts w:cs="Tahoma"/>
                <w:sz w:val="24"/>
                <w:szCs w:val="24"/>
              </w:rPr>
              <w:t xml:space="preserve">2018. évi nyersanyag költség 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000000" w:fill="FFFFFF"/>
          </w:tcPr>
          <w:p w:rsidR="00B60B15" w:rsidRPr="00B60B15" w:rsidRDefault="00B60B15" w:rsidP="006F3AEE">
            <w:pPr>
              <w:rPr>
                <w:rFonts w:cs="Tahoma"/>
                <w:sz w:val="24"/>
                <w:szCs w:val="24"/>
              </w:rPr>
            </w:pPr>
            <w:r w:rsidRPr="00B60B15">
              <w:rPr>
                <w:rFonts w:cs="Tahoma"/>
                <w:sz w:val="24"/>
                <w:szCs w:val="24"/>
              </w:rPr>
              <w:t>2018. évi szolgáltatási önköltség (gondozás)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0B15" w:rsidRPr="00B60B15" w:rsidRDefault="00B60B15" w:rsidP="006F3AEE">
            <w:pPr>
              <w:rPr>
                <w:rFonts w:cs="Tahoma"/>
                <w:sz w:val="24"/>
                <w:szCs w:val="24"/>
              </w:rPr>
            </w:pPr>
            <w:r w:rsidRPr="00B60B15">
              <w:rPr>
                <w:rFonts w:cs="Tahoma"/>
                <w:sz w:val="24"/>
                <w:szCs w:val="24"/>
              </w:rPr>
              <w:t>Bruttó számlázási érték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0B15" w:rsidRPr="00B60B15" w:rsidRDefault="00B60B15" w:rsidP="006F3AEE">
            <w:pPr>
              <w:jc w:val="center"/>
              <w:rPr>
                <w:rFonts w:cs="Tahoma"/>
                <w:sz w:val="24"/>
                <w:szCs w:val="24"/>
              </w:rPr>
            </w:pPr>
            <w:r w:rsidRPr="00B60B15">
              <w:rPr>
                <w:rFonts w:cs="Tahoma"/>
                <w:sz w:val="24"/>
                <w:szCs w:val="24"/>
              </w:rPr>
              <w:t>Ebből nettó nyersanyag norma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B60B15" w:rsidRPr="00B60B15" w:rsidRDefault="00B60B15" w:rsidP="006F3AEE">
            <w:pPr>
              <w:rPr>
                <w:rFonts w:cs="Tahoma"/>
                <w:sz w:val="24"/>
                <w:szCs w:val="24"/>
              </w:rPr>
            </w:pPr>
            <w:r w:rsidRPr="00B60B15">
              <w:rPr>
                <w:rFonts w:cs="Tahoma"/>
                <w:sz w:val="24"/>
                <w:szCs w:val="24"/>
              </w:rPr>
              <w:t>Intézményi térítési díj</w:t>
            </w:r>
          </w:p>
        </w:tc>
      </w:tr>
      <w:tr w:rsidR="00B60B15" w:rsidRPr="00B60B15" w:rsidTr="006F3AEE">
        <w:trPr>
          <w:trHeight w:val="119"/>
        </w:trPr>
        <w:tc>
          <w:tcPr>
            <w:tcW w:w="42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B60B15" w:rsidRPr="00B60B15" w:rsidRDefault="00B60B15" w:rsidP="006F3AEE">
            <w:pPr>
              <w:jc w:val="center"/>
              <w:rPr>
                <w:rFonts w:cs="Tahoma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B60B15" w:rsidRPr="00B60B15" w:rsidRDefault="00B60B15" w:rsidP="006F3AEE">
            <w:pPr>
              <w:rPr>
                <w:rFonts w:cs="Tahoma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B60B15" w:rsidRPr="00B60B15" w:rsidRDefault="00B60B15" w:rsidP="006F3AEE">
            <w:pPr>
              <w:rPr>
                <w:rFonts w:cs="Tahoma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000000" w:fill="FFFFFF"/>
          </w:tcPr>
          <w:p w:rsidR="00B60B15" w:rsidRPr="00B60B15" w:rsidRDefault="00B60B15" w:rsidP="006F3AEE">
            <w:pPr>
              <w:rPr>
                <w:rFonts w:cs="Tahoma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B60B15" w:rsidRPr="00B60B15" w:rsidRDefault="00B60B15" w:rsidP="006F3AEE">
            <w:pPr>
              <w:rPr>
                <w:rFonts w:cs="Tahoma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B60B15" w:rsidRPr="00B60B15" w:rsidRDefault="00B60B15" w:rsidP="006F3AEE">
            <w:pPr>
              <w:jc w:val="center"/>
              <w:rPr>
                <w:rFonts w:cs="Tahoma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60B15" w:rsidRPr="00B60B15" w:rsidRDefault="00B60B15" w:rsidP="006F3AEE">
            <w:pPr>
              <w:rPr>
                <w:rFonts w:cs="Tahoma"/>
                <w:sz w:val="24"/>
                <w:szCs w:val="24"/>
              </w:rPr>
            </w:pPr>
          </w:p>
        </w:tc>
      </w:tr>
      <w:tr w:rsidR="00B60B15" w:rsidRPr="00B60B15" w:rsidTr="006F3AEE">
        <w:trPr>
          <w:trHeight w:val="525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B60B15" w:rsidRPr="00B60B15" w:rsidRDefault="00B60B15" w:rsidP="006F3AEE">
            <w:pPr>
              <w:jc w:val="center"/>
              <w:rPr>
                <w:rFonts w:cs="Tahoma"/>
                <w:b/>
                <w:bCs/>
                <w:sz w:val="24"/>
                <w:szCs w:val="24"/>
              </w:rPr>
            </w:pPr>
            <w:r w:rsidRPr="00B60B15">
              <w:rPr>
                <w:rFonts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B60B15" w:rsidRPr="00B60B15" w:rsidRDefault="00B60B15" w:rsidP="006F3AEE">
            <w:pPr>
              <w:jc w:val="both"/>
              <w:rPr>
                <w:rFonts w:cs="Tahoma"/>
                <w:sz w:val="24"/>
                <w:szCs w:val="24"/>
              </w:rPr>
            </w:pPr>
            <w:r w:rsidRPr="00B60B15">
              <w:rPr>
                <w:rFonts w:cs="Tahoma"/>
                <w:sz w:val="24"/>
                <w:szCs w:val="24"/>
              </w:rPr>
              <w:t>Gyermek</w:t>
            </w:r>
          </w:p>
          <w:p w:rsidR="00B60B15" w:rsidRPr="00B60B15" w:rsidRDefault="00B60B15" w:rsidP="006F3AEE">
            <w:pPr>
              <w:jc w:val="both"/>
              <w:rPr>
                <w:rFonts w:cs="Tahoma"/>
                <w:sz w:val="24"/>
                <w:szCs w:val="24"/>
              </w:rPr>
            </w:pPr>
            <w:r w:rsidRPr="00B60B15">
              <w:rPr>
                <w:rFonts w:cs="Tahoma"/>
                <w:sz w:val="24"/>
                <w:szCs w:val="24"/>
              </w:rPr>
              <w:t>étkeztetés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B60B15" w:rsidRPr="00B60B15" w:rsidRDefault="00B60B15" w:rsidP="006F3AEE">
            <w:pPr>
              <w:rPr>
                <w:rFonts w:cs="Tahoma"/>
                <w:sz w:val="24"/>
                <w:szCs w:val="24"/>
              </w:rPr>
            </w:pPr>
            <w:r w:rsidRPr="00B60B15">
              <w:rPr>
                <w:rFonts w:cs="Tahoma"/>
                <w:sz w:val="24"/>
                <w:szCs w:val="24"/>
              </w:rPr>
              <w:t>33 005 000 Ft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000000" w:fill="FFFFFF"/>
          </w:tcPr>
          <w:p w:rsidR="00B60B15" w:rsidRPr="00B60B15" w:rsidRDefault="00B60B15" w:rsidP="006F3AEE">
            <w:pPr>
              <w:jc w:val="center"/>
              <w:rPr>
                <w:rFonts w:cs="Tahoma"/>
                <w:sz w:val="24"/>
                <w:szCs w:val="24"/>
              </w:rPr>
            </w:pPr>
            <w:r w:rsidRPr="00B60B15">
              <w:rPr>
                <w:rFonts w:cs="Tahoma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B60B15" w:rsidRPr="00B60B15" w:rsidRDefault="00B60B15" w:rsidP="006F3AEE">
            <w:pPr>
              <w:jc w:val="center"/>
              <w:rPr>
                <w:rFonts w:cs="Tahoma"/>
                <w:sz w:val="24"/>
                <w:szCs w:val="24"/>
              </w:rPr>
            </w:pPr>
            <w:r w:rsidRPr="00B60B15">
              <w:rPr>
                <w:rFonts w:cs="Tahoma"/>
                <w:sz w:val="24"/>
                <w:szCs w:val="24"/>
              </w:rPr>
              <w:t>410 Ft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B60B15" w:rsidRPr="00B60B15" w:rsidRDefault="00B60B15" w:rsidP="006F3AEE">
            <w:pPr>
              <w:jc w:val="center"/>
              <w:rPr>
                <w:rFonts w:cs="Tahoma"/>
                <w:sz w:val="24"/>
                <w:szCs w:val="24"/>
              </w:rPr>
            </w:pPr>
            <w:r w:rsidRPr="00B60B15">
              <w:rPr>
                <w:rFonts w:cs="Tahoma"/>
                <w:sz w:val="24"/>
                <w:szCs w:val="24"/>
              </w:rPr>
              <w:t>323 Ft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60B15" w:rsidRPr="00B60B15" w:rsidRDefault="00B60B15" w:rsidP="006F3AEE">
            <w:pPr>
              <w:jc w:val="center"/>
              <w:rPr>
                <w:rFonts w:cs="Tahoma"/>
                <w:sz w:val="24"/>
                <w:szCs w:val="24"/>
              </w:rPr>
            </w:pPr>
            <w:r w:rsidRPr="00B60B15">
              <w:rPr>
                <w:rFonts w:cs="Tahoma"/>
                <w:sz w:val="24"/>
                <w:szCs w:val="24"/>
              </w:rPr>
              <w:t>410 Ft</w:t>
            </w:r>
          </w:p>
        </w:tc>
      </w:tr>
      <w:tr w:rsidR="00B60B15" w:rsidRPr="00B60B15" w:rsidTr="006F3AEE">
        <w:trPr>
          <w:trHeight w:val="580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0B15" w:rsidRPr="00B60B15" w:rsidRDefault="00B60B15" w:rsidP="006F3AEE">
            <w:pPr>
              <w:jc w:val="center"/>
              <w:rPr>
                <w:rFonts w:cs="Tahoma"/>
                <w:b/>
                <w:bCs/>
                <w:sz w:val="24"/>
                <w:szCs w:val="24"/>
              </w:rPr>
            </w:pPr>
            <w:r w:rsidRPr="00B60B15">
              <w:rPr>
                <w:rFonts w:cs="Tahom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0B15" w:rsidRPr="00B60B15" w:rsidRDefault="00B60B15" w:rsidP="006F3AEE">
            <w:pPr>
              <w:jc w:val="both"/>
              <w:rPr>
                <w:rFonts w:cs="Tahoma"/>
                <w:sz w:val="24"/>
                <w:szCs w:val="24"/>
              </w:rPr>
            </w:pPr>
            <w:r w:rsidRPr="00B60B15">
              <w:rPr>
                <w:rFonts w:cs="Tahoma"/>
                <w:sz w:val="24"/>
                <w:szCs w:val="24"/>
              </w:rPr>
              <w:t>Gondozás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0B15" w:rsidRPr="00B60B15" w:rsidRDefault="00B60B15" w:rsidP="006F3AEE">
            <w:pPr>
              <w:jc w:val="center"/>
              <w:rPr>
                <w:rFonts w:cs="Tahoma"/>
                <w:sz w:val="24"/>
                <w:szCs w:val="24"/>
              </w:rPr>
            </w:pPr>
            <w:r w:rsidRPr="00B60B15">
              <w:rPr>
                <w:rFonts w:cs="Tahoma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B60B15" w:rsidRPr="00B60B15" w:rsidRDefault="00B60B15" w:rsidP="006F3AEE">
            <w:pPr>
              <w:rPr>
                <w:rFonts w:cs="Tahoma"/>
                <w:sz w:val="24"/>
                <w:szCs w:val="24"/>
              </w:rPr>
            </w:pPr>
            <w:r w:rsidRPr="00B60B15">
              <w:rPr>
                <w:rFonts w:cs="Tahoma"/>
                <w:sz w:val="24"/>
                <w:szCs w:val="24"/>
              </w:rPr>
              <w:t>233 789 600 Ft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0B15" w:rsidRPr="00B60B15" w:rsidRDefault="00B60B15" w:rsidP="006F3AEE">
            <w:pPr>
              <w:jc w:val="center"/>
              <w:rPr>
                <w:rFonts w:cs="Tahoma"/>
                <w:sz w:val="24"/>
                <w:szCs w:val="24"/>
              </w:rPr>
            </w:pPr>
            <w:r w:rsidRPr="00B60B15">
              <w:rPr>
                <w:rFonts w:cs="Tahoma"/>
                <w:sz w:val="24"/>
                <w:szCs w:val="24"/>
              </w:rPr>
              <w:t>2330 Ft 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0B15" w:rsidRPr="00B60B15" w:rsidRDefault="00B60B15" w:rsidP="006F3AEE">
            <w:pPr>
              <w:jc w:val="center"/>
              <w:rPr>
                <w:rFonts w:cs="Tahoma"/>
                <w:sz w:val="24"/>
                <w:szCs w:val="24"/>
              </w:rPr>
            </w:pPr>
            <w:r w:rsidRPr="00B60B15">
              <w:rPr>
                <w:rFonts w:cs="Tahoma"/>
                <w:sz w:val="24"/>
                <w:szCs w:val="24"/>
              </w:rPr>
              <w:t>- 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B60B15" w:rsidRPr="00B60B15" w:rsidRDefault="00B60B15" w:rsidP="006F3AEE">
            <w:pPr>
              <w:jc w:val="center"/>
              <w:rPr>
                <w:rFonts w:cs="Tahoma"/>
                <w:sz w:val="24"/>
                <w:szCs w:val="24"/>
              </w:rPr>
            </w:pPr>
            <w:r w:rsidRPr="00B60B15">
              <w:rPr>
                <w:rFonts w:cs="Tahoma"/>
                <w:sz w:val="24"/>
                <w:szCs w:val="24"/>
              </w:rPr>
              <w:t> 0 Ft</w:t>
            </w:r>
          </w:p>
        </w:tc>
      </w:tr>
    </w:tbl>
    <w:p w:rsidR="00B60B15" w:rsidRPr="00B60B15" w:rsidRDefault="00B60B15" w:rsidP="00B60B15">
      <w:pPr>
        <w:autoSpaceDE w:val="0"/>
        <w:autoSpaceDN w:val="0"/>
        <w:adjustRightInd w:val="0"/>
        <w:rPr>
          <w:rFonts w:cs="Tahoma"/>
          <w:b/>
          <w:bCs/>
          <w:sz w:val="24"/>
          <w:szCs w:val="24"/>
        </w:rPr>
      </w:pPr>
    </w:p>
    <w:tbl>
      <w:tblPr>
        <w:tblpPr w:leftFromText="141" w:rightFromText="141" w:vertAnchor="page" w:horzAnchor="margin" w:tblpY="10039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19"/>
        <w:gridCol w:w="3487"/>
      </w:tblGrid>
      <w:tr w:rsidR="00B60B15" w:rsidRPr="00B60B15" w:rsidTr="006F3AEE">
        <w:tc>
          <w:tcPr>
            <w:tcW w:w="9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15" w:rsidRPr="00B60B15" w:rsidRDefault="00B60B15" w:rsidP="006F3AEE">
            <w:pPr>
              <w:jc w:val="center"/>
              <w:rPr>
                <w:rFonts w:eastAsia="Times New Roman" w:cs="Tahoma"/>
                <w:b/>
                <w:sz w:val="24"/>
                <w:szCs w:val="24"/>
                <w:highlight w:val="yellow"/>
              </w:rPr>
            </w:pPr>
            <w:r w:rsidRPr="00B60B15">
              <w:rPr>
                <w:rFonts w:eastAsia="Times New Roman" w:cs="Tahoma"/>
                <w:b/>
                <w:sz w:val="24"/>
                <w:szCs w:val="24"/>
              </w:rPr>
              <w:t>Veszprémi Családsegítő és Gyermekjóléti Integrált Intézmény</w:t>
            </w:r>
          </w:p>
        </w:tc>
      </w:tr>
      <w:tr w:rsidR="00B60B15" w:rsidRPr="00B60B15" w:rsidTr="006F3AEE"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15" w:rsidRPr="00B60B15" w:rsidRDefault="00B60B15" w:rsidP="006F3AEE">
            <w:pPr>
              <w:jc w:val="center"/>
              <w:rPr>
                <w:rFonts w:eastAsia="Times New Roman" w:cs="Tahoma"/>
                <w:sz w:val="24"/>
                <w:szCs w:val="24"/>
              </w:rPr>
            </w:pPr>
            <w:r w:rsidRPr="00B60B15">
              <w:rPr>
                <w:rFonts w:eastAsia="Times New Roman" w:cs="Tahoma"/>
                <w:sz w:val="24"/>
                <w:szCs w:val="24"/>
              </w:rPr>
              <w:t>A</w:t>
            </w: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15" w:rsidRPr="00B60B15" w:rsidRDefault="00B60B15" w:rsidP="006F3AEE">
            <w:pPr>
              <w:jc w:val="center"/>
              <w:rPr>
                <w:rFonts w:eastAsia="Times New Roman" w:cs="Tahoma"/>
                <w:sz w:val="24"/>
                <w:szCs w:val="24"/>
              </w:rPr>
            </w:pPr>
            <w:r w:rsidRPr="00B60B15">
              <w:rPr>
                <w:rFonts w:eastAsia="Times New Roman" w:cs="Tahoma"/>
                <w:sz w:val="24"/>
                <w:szCs w:val="24"/>
              </w:rPr>
              <w:t>B</w:t>
            </w:r>
          </w:p>
        </w:tc>
      </w:tr>
      <w:tr w:rsidR="00B60B15" w:rsidRPr="00B60B15" w:rsidTr="006F3AEE"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15" w:rsidRPr="00B60B15" w:rsidRDefault="00B60B15" w:rsidP="006F3AEE">
            <w:pPr>
              <w:rPr>
                <w:rFonts w:eastAsia="Times New Roman" w:cs="Tahoma"/>
                <w:sz w:val="24"/>
                <w:szCs w:val="24"/>
              </w:rPr>
            </w:pPr>
            <w:r w:rsidRPr="00B60B15">
              <w:rPr>
                <w:rFonts w:eastAsia="Times New Roman" w:cs="Tahoma"/>
                <w:sz w:val="24"/>
                <w:szCs w:val="24"/>
              </w:rPr>
              <w:t>2018. évre tervezett önköltség összege</w:t>
            </w: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15" w:rsidRPr="00B60B15" w:rsidRDefault="00B60B15" w:rsidP="006F3AEE">
            <w:pPr>
              <w:jc w:val="center"/>
              <w:rPr>
                <w:rFonts w:eastAsia="Times New Roman" w:cs="Tahoma"/>
                <w:sz w:val="24"/>
                <w:szCs w:val="24"/>
              </w:rPr>
            </w:pPr>
            <w:r w:rsidRPr="00B60B15">
              <w:rPr>
                <w:rFonts w:eastAsia="Times New Roman" w:cs="Tahoma"/>
                <w:sz w:val="24"/>
                <w:szCs w:val="24"/>
              </w:rPr>
              <w:t>27 369 585 Ft</w:t>
            </w:r>
          </w:p>
        </w:tc>
      </w:tr>
      <w:tr w:rsidR="00B60B15" w:rsidRPr="00B60B15" w:rsidTr="006F3AEE"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15" w:rsidRPr="00B60B15" w:rsidRDefault="00B60B15" w:rsidP="006F3AEE">
            <w:pPr>
              <w:rPr>
                <w:rFonts w:eastAsia="Times New Roman" w:cs="Tahoma"/>
                <w:sz w:val="24"/>
                <w:szCs w:val="24"/>
              </w:rPr>
            </w:pPr>
            <w:r w:rsidRPr="00B60B15">
              <w:rPr>
                <w:rFonts w:eastAsia="Times New Roman" w:cs="Tahoma"/>
                <w:sz w:val="24"/>
                <w:szCs w:val="24"/>
              </w:rPr>
              <w:lastRenderedPageBreak/>
              <w:t xml:space="preserve">Igénybe vehető normatíva </w:t>
            </w: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15" w:rsidRPr="00B60B15" w:rsidRDefault="00B60B15" w:rsidP="006F3AEE">
            <w:pPr>
              <w:jc w:val="center"/>
              <w:rPr>
                <w:rFonts w:eastAsia="Times New Roman" w:cs="Tahoma"/>
                <w:sz w:val="24"/>
                <w:szCs w:val="24"/>
              </w:rPr>
            </w:pPr>
            <w:r w:rsidRPr="00B60B15">
              <w:rPr>
                <w:rFonts w:eastAsia="Times New Roman" w:cs="Tahoma"/>
                <w:sz w:val="24"/>
                <w:szCs w:val="24"/>
              </w:rPr>
              <w:t>17 684 382 Ft</w:t>
            </w:r>
          </w:p>
        </w:tc>
      </w:tr>
      <w:tr w:rsidR="00B60B15" w:rsidRPr="00B60B15" w:rsidTr="006F3AEE"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15" w:rsidRPr="00B60B15" w:rsidRDefault="00B60B15" w:rsidP="006F3AEE">
            <w:pPr>
              <w:rPr>
                <w:rFonts w:eastAsia="Times New Roman" w:cs="Tahoma"/>
                <w:sz w:val="24"/>
                <w:szCs w:val="24"/>
              </w:rPr>
            </w:pPr>
            <w:r w:rsidRPr="00B60B15">
              <w:rPr>
                <w:rFonts w:eastAsia="Times New Roman" w:cs="Tahoma"/>
                <w:sz w:val="24"/>
                <w:szCs w:val="24"/>
              </w:rPr>
              <w:t xml:space="preserve">Intézményi térítési díj </w:t>
            </w:r>
          </w:p>
          <w:p w:rsidR="00B60B15" w:rsidRPr="00B60B15" w:rsidRDefault="00B60B15" w:rsidP="006F3AEE">
            <w:pPr>
              <w:rPr>
                <w:rFonts w:eastAsia="Times New Roman" w:cs="Tahoma"/>
                <w:sz w:val="24"/>
                <w:szCs w:val="24"/>
              </w:rPr>
            </w:pPr>
            <w:r w:rsidRPr="00B60B15">
              <w:rPr>
                <w:rFonts w:eastAsia="Times New Roman" w:cs="Tahoma"/>
                <w:sz w:val="24"/>
                <w:szCs w:val="24"/>
              </w:rPr>
              <w:t>(önköltség-normatíva)</w:t>
            </w: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15" w:rsidRPr="00B60B15" w:rsidRDefault="00B60B15" w:rsidP="006F3AEE">
            <w:pPr>
              <w:jc w:val="center"/>
              <w:rPr>
                <w:rFonts w:eastAsia="Times New Roman" w:cs="Tahoma"/>
                <w:sz w:val="24"/>
                <w:szCs w:val="24"/>
              </w:rPr>
            </w:pPr>
            <w:r w:rsidRPr="00B60B15">
              <w:rPr>
                <w:rFonts w:eastAsia="Times New Roman" w:cs="Tahoma"/>
                <w:sz w:val="24"/>
                <w:szCs w:val="24"/>
              </w:rPr>
              <w:t>9 685 205 Ft</w:t>
            </w:r>
          </w:p>
        </w:tc>
      </w:tr>
      <w:tr w:rsidR="00B60B15" w:rsidRPr="00B60B15" w:rsidTr="006F3AEE"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15" w:rsidRPr="00B60B15" w:rsidRDefault="00B60B15" w:rsidP="006F3AEE">
            <w:pPr>
              <w:rPr>
                <w:rFonts w:eastAsia="Times New Roman" w:cs="Tahoma"/>
                <w:sz w:val="24"/>
                <w:szCs w:val="24"/>
              </w:rPr>
            </w:pPr>
            <w:r w:rsidRPr="00B60B15">
              <w:rPr>
                <w:rFonts w:eastAsia="Times New Roman" w:cs="Tahoma"/>
                <w:sz w:val="24"/>
                <w:szCs w:val="24"/>
              </w:rPr>
              <w:t>Havi intézményi térítési díj (hónap/fő) a napi intézményi térítési díj harmincszorosa</w:t>
            </w: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15" w:rsidRPr="00B60B15" w:rsidRDefault="00B60B15" w:rsidP="006F3AEE">
            <w:pPr>
              <w:jc w:val="center"/>
              <w:rPr>
                <w:rFonts w:eastAsia="Times New Roman" w:cs="Tahoma"/>
                <w:b/>
                <w:sz w:val="24"/>
                <w:szCs w:val="24"/>
              </w:rPr>
            </w:pPr>
          </w:p>
          <w:p w:rsidR="00B60B15" w:rsidRPr="00B60B15" w:rsidRDefault="00B60B15" w:rsidP="006F3AEE">
            <w:pPr>
              <w:jc w:val="center"/>
              <w:rPr>
                <w:rFonts w:eastAsia="Times New Roman" w:cs="Tahoma"/>
                <w:sz w:val="24"/>
                <w:szCs w:val="24"/>
              </w:rPr>
            </w:pPr>
            <w:r w:rsidRPr="00B60B15">
              <w:rPr>
                <w:rFonts w:eastAsia="Times New Roman" w:cs="Tahoma"/>
                <w:sz w:val="24"/>
                <w:szCs w:val="24"/>
              </w:rPr>
              <w:t>66 330 Ft</w:t>
            </w:r>
          </w:p>
        </w:tc>
      </w:tr>
      <w:tr w:rsidR="00B60B15" w:rsidRPr="00B60B15" w:rsidTr="006F3AEE"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15" w:rsidRPr="00B60B15" w:rsidRDefault="00B60B15" w:rsidP="006F3AEE">
            <w:pPr>
              <w:rPr>
                <w:rFonts w:eastAsia="Times New Roman" w:cs="Tahoma"/>
                <w:sz w:val="24"/>
                <w:szCs w:val="24"/>
              </w:rPr>
            </w:pPr>
            <w:r w:rsidRPr="00B60B15">
              <w:rPr>
                <w:rFonts w:eastAsia="Times New Roman" w:cs="Tahoma"/>
                <w:sz w:val="24"/>
                <w:szCs w:val="24"/>
              </w:rPr>
              <w:t xml:space="preserve">Napi intézményi térítési díj (nap/fő) </w:t>
            </w:r>
          </w:p>
          <w:p w:rsidR="00B60B15" w:rsidRPr="00B60B15" w:rsidRDefault="00B60B15" w:rsidP="006F3AEE">
            <w:pPr>
              <w:rPr>
                <w:rFonts w:eastAsia="Times New Roman" w:cs="Tahoma"/>
                <w:sz w:val="24"/>
                <w:szCs w:val="24"/>
              </w:rPr>
            </w:pPr>
            <w:r w:rsidRPr="00B60B15">
              <w:rPr>
                <w:rFonts w:eastAsia="Times New Roman" w:cs="Tahoma"/>
                <w:sz w:val="24"/>
                <w:szCs w:val="24"/>
              </w:rPr>
              <w:t>(365 nap/12 fő)</w:t>
            </w: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15" w:rsidRPr="00B60B15" w:rsidRDefault="00B60B15" w:rsidP="006F3AEE">
            <w:pPr>
              <w:jc w:val="center"/>
              <w:rPr>
                <w:rFonts w:eastAsia="Times New Roman" w:cs="Tahoma"/>
                <w:sz w:val="24"/>
                <w:szCs w:val="24"/>
              </w:rPr>
            </w:pPr>
            <w:r w:rsidRPr="00B60B15">
              <w:rPr>
                <w:rFonts w:eastAsia="Times New Roman" w:cs="Tahoma"/>
                <w:sz w:val="24"/>
                <w:szCs w:val="24"/>
              </w:rPr>
              <w:t>2 210 Ft</w:t>
            </w:r>
          </w:p>
        </w:tc>
      </w:tr>
    </w:tbl>
    <w:p w:rsidR="00B60B15" w:rsidRPr="00B60B15" w:rsidRDefault="00B60B15" w:rsidP="00B60B15">
      <w:pPr>
        <w:rPr>
          <w:rFonts w:cs="Tahoma"/>
          <w:b/>
          <w:bCs/>
          <w:sz w:val="24"/>
          <w:szCs w:val="24"/>
        </w:rPr>
      </w:pPr>
    </w:p>
    <w:p w:rsidR="00B60B15" w:rsidRPr="00B60B15" w:rsidRDefault="00B60B15" w:rsidP="00B60B15">
      <w:pPr>
        <w:autoSpaceDE w:val="0"/>
        <w:autoSpaceDN w:val="0"/>
        <w:adjustRightInd w:val="0"/>
        <w:ind w:left="-442" w:firstLine="442"/>
        <w:rPr>
          <w:rFonts w:eastAsia="Calibri" w:cs="Tahoma"/>
          <w:bCs/>
          <w:sz w:val="24"/>
          <w:szCs w:val="24"/>
          <w:lang w:eastAsia="en-US"/>
        </w:rPr>
      </w:pPr>
      <w:r w:rsidRPr="00B60B15">
        <w:rPr>
          <w:rFonts w:eastAsia="Calibri" w:cs="Tahoma"/>
          <w:bCs/>
          <w:sz w:val="24"/>
          <w:szCs w:val="24"/>
          <w:lang w:eastAsia="en-US"/>
        </w:rPr>
        <w:t xml:space="preserve">A térítési díj 27% </w:t>
      </w:r>
      <w:proofErr w:type="spellStart"/>
      <w:r w:rsidRPr="00B60B15">
        <w:rPr>
          <w:rFonts w:eastAsia="Calibri" w:cs="Tahoma"/>
          <w:bCs/>
          <w:sz w:val="24"/>
          <w:szCs w:val="24"/>
          <w:lang w:eastAsia="en-US"/>
        </w:rPr>
        <w:t>ÁFÁ-t</w:t>
      </w:r>
      <w:proofErr w:type="spellEnd"/>
      <w:r w:rsidRPr="00B60B15">
        <w:rPr>
          <w:rFonts w:eastAsia="Calibri" w:cs="Tahoma"/>
          <w:bCs/>
          <w:sz w:val="24"/>
          <w:szCs w:val="24"/>
          <w:lang w:eastAsia="en-US"/>
        </w:rPr>
        <w:t xml:space="preserve"> tartalmaz.”</w:t>
      </w:r>
    </w:p>
    <w:p w:rsidR="00B60B15" w:rsidRPr="00B60B15" w:rsidRDefault="00B60B15" w:rsidP="00B60B15">
      <w:pPr>
        <w:rPr>
          <w:rFonts w:cs="Tahoma"/>
          <w:b/>
          <w:bCs/>
          <w:sz w:val="24"/>
          <w:szCs w:val="24"/>
        </w:rPr>
      </w:pPr>
    </w:p>
    <w:p w:rsidR="002D30F0" w:rsidRPr="00117367" w:rsidRDefault="002D30F0">
      <w:pPr>
        <w:rPr>
          <w:rFonts w:cs="Tahoma"/>
          <w:b/>
          <w:bCs/>
          <w:sz w:val="24"/>
          <w:szCs w:val="24"/>
        </w:rPr>
      </w:pPr>
      <w:bookmarkStart w:id="0" w:name="_GoBack"/>
      <w:bookmarkEnd w:id="0"/>
    </w:p>
    <w:sectPr w:rsidR="002D30F0" w:rsidRPr="0011736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73D8" w:rsidRDefault="00A673D8" w:rsidP="00B60B15">
      <w:r>
        <w:separator/>
      </w:r>
    </w:p>
  </w:endnote>
  <w:endnote w:type="continuationSeparator" w:id="0">
    <w:p w:rsidR="00A673D8" w:rsidRDefault="00A673D8" w:rsidP="00B60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eiryo">
    <w:altName w:val="MS Gothic"/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98845938"/>
      <w:docPartObj>
        <w:docPartGallery w:val="Page Numbers (Bottom of Page)"/>
        <w:docPartUnique/>
      </w:docPartObj>
    </w:sdtPr>
    <w:sdtEndPr/>
    <w:sdtContent>
      <w:p w:rsidR="00B60B15" w:rsidRDefault="00B60B15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7367">
          <w:rPr>
            <w:noProof/>
          </w:rPr>
          <w:t>2</w:t>
        </w:r>
        <w:r>
          <w:fldChar w:fldCharType="end"/>
        </w:r>
      </w:p>
    </w:sdtContent>
  </w:sdt>
  <w:p w:rsidR="00B60B15" w:rsidRDefault="00B60B15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73D8" w:rsidRDefault="00A673D8" w:rsidP="00B60B15">
      <w:r>
        <w:separator/>
      </w:r>
    </w:p>
  </w:footnote>
  <w:footnote w:type="continuationSeparator" w:id="0">
    <w:p w:rsidR="00A673D8" w:rsidRDefault="00A673D8" w:rsidP="00B60B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4343B"/>
    <w:multiLevelType w:val="hybridMultilevel"/>
    <w:tmpl w:val="C4BABD22"/>
    <w:lvl w:ilvl="0" w:tplc="AD1A3FC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040E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E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E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4C81484D"/>
    <w:multiLevelType w:val="hybridMultilevel"/>
    <w:tmpl w:val="1098D98C"/>
    <w:lvl w:ilvl="0" w:tplc="AD1A3FC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53A5D2B"/>
    <w:multiLevelType w:val="hybridMultilevel"/>
    <w:tmpl w:val="415822F0"/>
    <w:lvl w:ilvl="0" w:tplc="F836BDD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B15"/>
    <w:rsid w:val="00085BDF"/>
    <w:rsid w:val="00117367"/>
    <w:rsid w:val="002D30F0"/>
    <w:rsid w:val="0038199C"/>
    <w:rsid w:val="006023D0"/>
    <w:rsid w:val="00A43E55"/>
    <w:rsid w:val="00A673D8"/>
    <w:rsid w:val="00B60B15"/>
    <w:rsid w:val="00BD3F23"/>
    <w:rsid w:val="00C96F78"/>
    <w:rsid w:val="00CE3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60B15"/>
    <w:pPr>
      <w:spacing w:after="0" w:line="240" w:lineRule="auto"/>
    </w:pPr>
    <w:rPr>
      <w:rFonts w:ascii="Tahoma" w:eastAsia="Meiryo" w:hAnsi="Tahoma" w:cs="Times New Roman"/>
      <w:color w:val="00008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B60B15"/>
    <w:pPr>
      <w:spacing w:after="160" w:line="300" w:lineRule="auto"/>
      <w:ind w:left="720"/>
      <w:contextualSpacing/>
    </w:pPr>
    <w:rPr>
      <w:rFonts w:ascii="Century Gothic" w:hAnsi="Century Gothic"/>
      <w:color w:val="auto"/>
      <w:sz w:val="17"/>
      <w:szCs w:val="17"/>
      <w:lang w:val="en-US" w:eastAsia="ja-JP"/>
    </w:rPr>
  </w:style>
  <w:style w:type="paragraph" w:styleId="lfej">
    <w:name w:val="header"/>
    <w:basedOn w:val="Norml"/>
    <w:link w:val="lfejChar"/>
    <w:uiPriority w:val="99"/>
    <w:unhideWhenUsed/>
    <w:rsid w:val="00B60B1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60B15"/>
    <w:rPr>
      <w:rFonts w:ascii="Tahoma" w:eastAsia="Meiryo" w:hAnsi="Tahoma" w:cs="Times New Roman"/>
      <w:color w:val="00008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B60B1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60B15"/>
    <w:rPr>
      <w:rFonts w:ascii="Tahoma" w:eastAsia="Meiryo" w:hAnsi="Tahoma" w:cs="Times New Roman"/>
      <w:color w:val="00008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60B15"/>
    <w:rPr>
      <w:rFonts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60B15"/>
    <w:rPr>
      <w:rFonts w:ascii="Tahoma" w:eastAsia="Meiryo" w:hAnsi="Tahoma" w:cs="Tahoma"/>
      <w:color w:val="000080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60B15"/>
    <w:pPr>
      <w:spacing w:after="0" w:line="240" w:lineRule="auto"/>
    </w:pPr>
    <w:rPr>
      <w:rFonts w:ascii="Tahoma" w:eastAsia="Meiryo" w:hAnsi="Tahoma" w:cs="Times New Roman"/>
      <w:color w:val="00008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B60B15"/>
    <w:pPr>
      <w:spacing w:after="160" w:line="300" w:lineRule="auto"/>
      <w:ind w:left="720"/>
      <w:contextualSpacing/>
    </w:pPr>
    <w:rPr>
      <w:rFonts w:ascii="Century Gothic" w:hAnsi="Century Gothic"/>
      <w:color w:val="auto"/>
      <w:sz w:val="17"/>
      <w:szCs w:val="17"/>
      <w:lang w:val="en-US" w:eastAsia="ja-JP"/>
    </w:rPr>
  </w:style>
  <w:style w:type="paragraph" w:styleId="lfej">
    <w:name w:val="header"/>
    <w:basedOn w:val="Norml"/>
    <w:link w:val="lfejChar"/>
    <w:uiPriority w:val="99"/>
    <w:unhideWhenUsed/>
    <w:rsid w:val="00B60B1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60B15"/>
    <w:rPr>
      <w:rFonts w:ascii="Tahoma" w:eastAsia="Meiryo" w:hAnsi="Tahoma" w:cs="Times New Roman"/>
      <w:color w:val="00008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B60B1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60B15"/>
    <w:rPr>
      <w:rFonts w:ascii="Tahoma" w:eastAsia="Meiryo" w:hAnsi="Tahoma" w:cs="Times New Roman"/>
      <w:color w:val="00008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60B15"/>
    <w:rPr>
      <w:rFonts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60B15"/>
    <w:rPr>
      <w:rFonts w:ascii="Tahoma" w:eastAsia="Meiryo" w:hAnsi="Tahoma" w:cs="Tahoma"/>
      <w:color w:val="000080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203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Kicska Andrea</dc:creator>
  <cp:lastModifiedBy>Dr. Dancs Judit</cp:lastModifiedBy>
  <cp:revision>3</cp:revision>
  <cp:lastPrinted>2018-12-14T09:38:00Z</cp:lastPrinted>
  <dcterms:created xsi:type="dcterms:W3CDTF">2018-12-15T10:32:00Z</dcterms:created>
  <dcterms:modified xsi:type="dcterms:W3CDTF">2018-12-15T10:32:00Z</dcterms:modified>
</cp:coreProperties>
</file>