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both"/>
        <w:rPr>
          <w:rFonts w:ascii="Times New Roman" w:hAnsi="Times New Roman"/>
          <w:b/>
          <w:b/>
          <w:bCs/>
          <w:iCs/>
          <w:sz w:val="24"/>
          <w:szCs w:val="24"/>
          <w:lang w:eastAsia="hu-HU"/>
        </w:rPr>
      </w:pPr>
      <w:r>
        <w:rPr>
          <w:rFonts w:ascii="Times New Roman" w:hAnsi="Times New Roman"/>
          <w:b/>
          <w:bCs/>
          <w:iCs/>
          <w:sz w:val="24"/>
          <w:szCs w:val="24"/>
          <w:lang w:eastAsia="hu-HU"/>
        </w:rPr>
      </w:r>
    </w:p>
    <w:p>
      <w:pPr>
        <w:pStyle w:val="Normal"/>
        <w:suppressAutoHyphens w:val="false"/>
        <w:spacing w:before="0" w:after="0"/>
        <w:jc w:val="center"/>
        <w:rPr/>
      </w:pPr>
      <w:r>
        <w:rPr>
          <w:rFonts w:ascii="Times New Roman" w:hAnsi="Times New Roman"/>
          <w:b/>
          <w:color w:val="000000"/>
          <w:sz w:val="24"/>
          <w:szCs w:val="24"/>
          <w:lang w:eastAsia="hu-HU"/>
        </w:rPr>
        <w:t>Pécsely Község Önkormányzata Képviselő-testületének</w:t>
        <w:br/>
      </w:r>
      <w:r>
        <w:rPr>
          <w:rFonts w:ascii="Times New Roman" w:hAnsi="Times New Roman"/>
          <w:b/>
          <w:color w:val="000000"/>
          <w:sz w:val="24"/>
          <w:szCs w:val="24"/>
          <w:lang w:eastAsia="hu-HU"/>
        </w:rPr>
        <w:t>9</w:t>
      </w:r>
      <w:r>
        <w:rPr>
          <w:rFonts w:ascii="Times New Roman" w:hAnsi="Times New Roman"/>
          <w:b/>
          <w:color w:val="000000"/>
          <w:sz w:val="24"/>
          <w:szCs w:val="24"/>
          <w:lang w:eastAsia="hu-HU"/>
        </w:rPr>
        <w:t>/2018. (</w:t>
      </w:r>
      <w:r>
        <w:rPr>
          <w:rFonts w:ascii="Times New Roman" w:hAnsi="Times New Roman"/>
          <w:b/>
          <w:color w:val="000000"/>
          <w:sz w:val="24"/>
          <w:szCs w:val="24"/>
          <w:lang w:eastAsia="hu-HU"/>
        </w:rPr>
        <w:t>XI. 20.</w:t>
      </w:r>
      <w:r>
        <w:rPr>
          <w:rFonts w:ascii="Times New Roman" w:hAnsi="Times New Roman"/>
          <w:b/>
          <w:color w:val="000000"/>
          <w:sz w:val="24"/>
          <w:szCs w:val="24"/>
          <w:lang w:eastAsia="hu-HU"/>
        </w:rPr>
        <w:t>) önkormányzati rendelete</w:t>
        <w:br/>
        <w:t xml:space="preserve">a szociális célú tűzifa támogatás helyi szabályairól </w:t>
      </w:r>
      <w:r>
        <w:rPr>
          <w:rFonts w:ascii="Times New Roman" w:hAnsi="Times New Roman"/>
          <w:b/>
          <w:bCs/>
          <w:iCs/>
          <w:sz w:val="24"/>
          <w:szCs w:val="24"/>
          <w:lang w:eastAsia="hu-HU"/>
        </w:rPr>
        <w:t>szóló rendelet-tervezethez.</w:t>
      </w:r>
    </w:p>
    <w:p>
      <w:pPr>
        <w:pStyle w:val="Normal"/>
        <w:suppressAutoHyphens w:val="false"/>
        <w:spacing w:before="0" w:after="0"/>
        <w:jc w:val="center"/>
        <w:rPr>
          <w:rFonts w:ascii="Times New Roman" w:hAnsi="Times New Roman"/>
          <w:b/>
          <w:b/>
          <w:bCs/>
          <w:iCs/>
          <w:sz w:val="24"/>
          <w:szCs w:val="24"/>
          <w:lang w:eastAsia="hu-HU"/>
        </w:rPr>
      </w:pPr>
      <w:r>
        <w:rPr>
          <w:rFonts w:ascii="Times New Roman" w:hAnsi="Times New Roman"/>
          <w:b/>
          <w:bCs/>
          <w:iCs/>
          <w:sz w:val="24"/>
          <w:szCs w:val="24"/>
          <w:lang w:eastAsia="hu-HU"/>
        </w:rPr>
      </w:r>
    </w:p>
    <w:p>
      <w:pPr>
        <w:pStyle w:val="Normal"/>
        <w:suppressAutoHyphens w:val="false"/>
        <w:rPr>
          <w:rFonts w:ascii="Times New Roman" w:hAnsi="Times New Roman" w:eastAsia="Calibri" w:eastAsiaTheme="minorHAnsi"/>
          <w:b/>
          <w:b/>
          <w:color w:val="00000A"/>
          <w:sz w:val="24"/>
          <w:szCs w:val="24"/>
          <w:u w:val="single"/>
        </w:rPr>
      </w:pPr>
      <w:r>
        <w:rPr>
          <w:rFonts w:eastAsia="Calibri" w:ascii="Times New Roman" w:hAnsi="Times New Roman" w:eastAsiaTheme="minorHAnsi"/>
          <w:b/>
          <w:color w:val="00000A"/>
          <w:sz w:val="24"/>
          <w:szCs w:val="24"/>
          <w:u w:val="single"/>
        </w:rPr>
        <w:t>Általános indokolás</w:t>
      </w:r>
    </w:p>
    <w:p>
      <w:pPr>
        <w:pStyle w:val="Normal"/>
        <w:suppressAutoHyphens w:val="false"/>
        <w:spacing w:lineRule="auto" w:line="240" w:before="0" w:after="0"/>
        <w:jc w:val="both"/>
        <w:rPr>
          <w:rFonts w:ascii="Times New Roman" w:hAnsi="Times New Roman" w:eastAsia="Calibri" w:eastAsiaTheme="minorHAnsi"/>
          <w:color w:val="00000A"/>
          <w:sz w:val="24"/>
          <w:szCs w:val="24"/>
        </w:rPr>
      </w:pPr>
      <w:r>
        <w:rPr>
          <w:rFonts w:ascii="Times New Roman" w:hAnsi="Times New Roman"/>
          <w:sz w:val="24"/>
          <w:szCs w:val="24"/>
          <w:lang w:eastAsia="hu-HU"/>
        </w:rPr>
        <w:t>Magyarország 2017. évi központi költségvetéséről szóló 2016. évi XC. törvény 3. melléklet I. 9. pontjában, valamint a 2018. évi központi költségvetéséről szóló 2017. évi C. tövény 3. melléklet I. 9. pontjában szabályozott települési önkormányzatok szociális célú tüzelőanyag vásárlásához kapcsolódó támogatása jogcím keretében pályázatot nyújtott be, mely eredményes volt. A pályázati kiírásban foglaltak alapján a miniszteri döntést követően a Képviselő-testület a szociális tűzifa kiosztására rendeletet köteles alkotni.</w:t>
      </w:r>
    </w:p>
    <w:p>
      <w:pPr>
        <w:pStyle w:val="Normal"/>
        <w:suppressAutoHyphens w:val="false"/>
        <w:spacing w:lineRule="auto" w:line="240" w:before="0" w:after="0"/>
        <w:jc w:val="both"/>
        <w:rPr>
          <w:rFonts w:ascii="Times New Roman" w:hAnsi="Times New Roman" w:eastAsia="Calibri" w:eastAsiaTheme="minorHAnsi"/>
          <w:color w:val="00000A"/>
          <w:sz w:val="24"/>
          <w:szCs w:val="24"/>
        </w:rPr>
      </w:pPr>
      <w:r>
        <w:rPr>
          <w:rFonts w:eastAsia="Calibri" w:eastAsiaTheme="minorHAnsi" w:ascii="Times New Roman" w:hAnsi="Times New Roman"/>
          <w:color w:val="00000A"/>
          <w:sz w:val="24"/>
          <w:szCs w:val="24"/>
        </w:rPr>
      </w:r>
    </w:p>
    <w:p>
      <w:pPr>
        <w:pStyle w:val="Normal"/>
        <w:suppressAutoHyphens w:val="false"/>
        <w:spacing w:lineRule="auto" w:line="240" w:before="0" w:after="0"/>
        <w:jc w:val="both"/>
        <w:rPr>
          <w:rFonts w:ascii="Times New Roman" w:hAnsi="Times New Roman"/>
          <w:b/>
          <w:b/>
          <w:bCs/>
          <w:iCs/>
          <w:sz w:val="24"/>
          <w:szCs w:val="24"/>
          <w:lang w:eastAsia="hu-HU"/>
        </w:rPr>
      </w:pPr>
      <w:r>
        <w:rPr>
          <w:rFonts w:ascii="Times New Roman" w:hAnsi="Times New Roman"/>
          <w:b/>
          <w:bCs/>
          <w:iCs/>
          <w:sz w:val="24"/>
          <w:szCs w:val="24"/>
          <w:lang w:eastAsia="hu-HU"/>
        </w:rPr>
        <w:t xml:space="preserve"> </w:t>
      </w:r>
    </w:p>
    <w:p>
      <w:pPr>
        <w:pStyle w:val="Normal"/>
        <w:spacing w:before="0" w:after="0"/>
        <w:jc w:val="both"/>
        <w:rPr>
          <w:rFonts w:ascii="Times New Roman" w:hAnsi="Times New Roman"/>
          <w:b/>
          <w:b/>
          <w:bCs/>
          <w:iCs/>
          <w:sz w:val="24"/>
          <w:szCs w:val="24"/>
          <w:u w:val="single"/>
          <w:lang w:eastAsia="hu-HU"/>
        </w:rPr>
      </w:pPr>
      <w:r>
        <w:rPr>
          <w:rFonts w:ascii="Times New Roman" w:hAnsi="Times New Roman"/>
          <w:b/>
          <w:bCs/>
          <w:iCs/>
          <w:sz w:val="24"/>
          <w:szCs w:val="24"/>
          <w:u w:val="single"/>
          <w:lang w:eastAsia="hu-HU"/>
        </w:rPr>
        <w:t>Részletes indokolás</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1. §-hoz: Ez a rendelkezés tartalmazza a rendelet célját és hatályát.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2. § - 3 §-hoz: Rögzítésre került, hogy mely célcsoport az, aki a szociális tűzifa támogatásra jogosult, s ki az aki nem.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4. § - 5. §-hoz: A támogatás igénylésének és odaítélésének menetét tartalmazza. A tervezet szerint a Képviselő-testület egyszerre bírálná el a kérelmeket és ezt követően egyszerre kerülne sor a kiszállításra.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6. §-hoz: A rendelet hatályba lépését és hatályon kívül helyezését határozza meg. Mivel ez a rendelet csak az idei évben meghatározott támogatásra érvényes, ezért az elszámolást követően célszerű a rendeletet rögtön hatályon kívül helyezni.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uppressAutoHyphens w:val="false"/>
        <w:jc w:val="center"/>
        <w:rPr>
          <w:rFonts w:ascii="Times New Roman" w:hAnsi="Times New Roman" w:eastAsia="Calibri" w:eastAsiaTheme="minorHAnsi"/>
          <w:b/>
          <w:b/>
          <w:color w:val="00000A"/>
          <w:sz w:val="24"/>
          <w:szCs w:val="24"/>
          <w:u w:val="single"/>
        </w:rPr>
      </w:pPr>
      <w:r>
        <w:rPr>
          <w:rFonts w:eastAsia="Calibri" w:ascii="Times New Roman" w:hAnsi="Times New Roman" w:eastAsiaTheme="minorHAnsi"/>
          <w:b/>
          <w:color w:val="00000A"/>
          <w:sz w:val="24"/>
          <w:szCs w:val="24"/>
          <w:u w:val="single"/>
        </w:rPr>
        <w:t>Előzetes hatásvizsgálat</w:t>
      </w:r>
    </w:p>
    <w:p>
      <w:pPr>
        <w:pStyle w:val="Normal"/>
        <w:suppressAutoHyphens w:val="false"/>
        <w:jc w:val="center"/>
        <w:rPr>
          <w:rFonts w:ascii="Times New Roman" w:hAnsi="Times New Roman" w:eastAsia="Calibri" w:eastAsiaTheme="minorHAnsi"/>
          <w:b/>
          <w:b/>
          <w:color w:val="00000A"/>
          <w:sz w:val="24"/>
          <w:szCs w:val="24"/>
          <w:u w:val="single"/>
        </w:rPr>
      </w:pPr>
      <w:bookmarkStart w:id="0" w:name="_GoBack"/>
      <w:bookmarkStart w:id="1" w:name="_GoBack"/>
      <w:bookmarkEnd w:id="1"/>
      <w:r>
        <w:rPr>
          <w:rFonts w:eastAsia="Calibri" w:eastAsiaTheme="minorHAnsi" w:ascii="Times New Roman" w:hAnsi="Times New Roman"/>
          <w:b/>
          <w:color w:val="00000A"/>
          <w:sz w:val="24"/>
          <w:szCs w:val="24"/>
          <w:u w:val="single"/>
        </w:rPr>
      </w:r>
    </w:p>
    <w:p>
      <w:pPr>
        <w:pStyle w:val="Normal"/>
        <w:suppressAutoHyphens w:val="false"/>
        <w:rPr>
          <w:rFonts w:ascii="Times New Roman" w:hAnsi="Times New Roman"/>
          <w:bCs/>
          <w:iCs/>
          <w:sz w:val="24"/>
          <w:szCs w:val="24"/>
          <w:lang w:eastAsia="hu-HU"/>
        </w:rPr>
      </w:pPr>
      <w:r>
        <w:rPr>
          <w:rFonts w:eastAsia="Calibri" w:ascii="Times New Roman" w:hAnsi="Times New Roman" w:eastAsiaTheme="minorHAnsi"/>
          <w:color w:val="00000A"/>
          <w:sz w:val="24"/>
          <w:szCs w:val="24"/>
        </w:rPr>
        <w:t>A jogalkotásról szóló 2010. évi CXXX. törvény 17. § -a szerint a jogszabályok előkészítése során előzetes hatásvizsgálat elvégzésével kell felmérni a tervezett jogszabály valamennyi jelentősnek ítélt hatását, a szabályozás várható következményeit. Az előzetes hatásvizsgálat megállapításai a rendelet-tervezet esetében az alábbiak:</w:t>
      </w:r>
    </w:p>
    <w:p>
      <w:pPr>
        <w:pStyle w:val="Normal"/>
        <w:numPr>
          <w:ilvl w:val="0"/>
          <w:numId w:val="1"/>
        </w:numPr>
        <w:spacing w:before="0" w:after="0"/>
        <w:jc w:val="both"/>
        <w:rPr>
          <w:rFonts w:ascii="Times New Roman" w:hAnsi="Times New Roman"/>
          <w:bCs/>
          <w:i/>
          <w:i/>
          <w:iCs/>
          <w:sz w:val="24"/>
          <w:szCs w:val="24"/>
          <w:u w:val="single"/>
          <w:lang w:eastAsia="hu-HU"/>
        </w:rPr>
      </w:pPr>
      <w:r>
        <w:rPr>
          <w:rFonts w:ascii="Times New Roman" w:hAnsi="Times New Roman"/>
          <w:bCs/>
          <w:i/>
          <w:iCs/>
          <w:sz w:val="24"/>
          <w:szCs w:val="24"/>
          <w:u w:val="single"/>
          <w:lang w:eastAsia="hu-HU"/>
        </w:rPr>
        <w:t>Társadalmi hatások</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A rendelet-tervezet azokat az egyedül élőket vagy családosokat támogatja, akiknek a téli tüzelő megvásárlása jelentős, akár létfenntartásukat is veszélyeztető anyagi terhet jelent.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numPr>
          <w:ilvl w:val="0"/>
          <w:numId w:val="1"/>
        </w:numPr>
        <w:spacing w:before="0" w:after="0"/>
        <w:jc w:val="both"/>
        <w:rPr>
          <w:rFonts w:ascii="Times New Roman" w:hAnsi="Times New Roman"/>
          <w:bCs/>
          <w:i/>
          <w:i/>
          <w:iCs/>
          <w:sz w:val="24"/>
          <w:szCs w:val="24"/>
          <w:u w:val="single"/>
          <w:lang w:eastAsia="hu-HU"/>
        </w:rPr>
      </w:pPr>
      <w:r>
        <w:rPr>
          <w:rFonts w:ascii="Times New Roman" w:hAnsi="Times New Roman"/>
          <w:bCs/>
          <w:i/>
          <w:iCs/>
          <w:sz w:val="24"/>
          <w:szCs w:val="24"/>
          <w:u w:val="single"/>
          <w:lang w:eastAsia="hu-HU"/>
        </w:rPr>
        <w:t>Gazdasági, költségvetési hatások</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A rendelet-tervezetnek gazdaságélénkítő hatása nincsen. A rendelet végrehajtása önerőt, valamint kiszállítás költséget jelenti, - mint pénzügyi tehertételt az önkormányzat gazdálkodásában.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numPr>
          <w:ilvl w:val="0"/>
          <w:numId w:val="1"/>
        </w:numPr>
        <w:spacing w:before="0" w:after="0"/>
        <w:jc w:val="both"/>
        <w:rPr>
          <w:rFonts w:ascii="Times New Roman" w:hAnsi="Times New Roman"/>
          <w:bCs/>
          <w:i/>
          <w:i/>
          <w:iCs/>
          <w:sz w:val="24"/>
          <w:szCs w:val="24"/>
          <w:u w:val="single"/>
          <w:lang w:eastAsia="hu-HU"/>
        </w:rPr>
      </w:pPr>
      <w:r>
        <w:rPr>
          <w:rFonts w:ascii="Times New Roman" w:hAnsi="Times New Roman"/>
          <w:bCs/>
          <w:i/>
          <w:iCs/>
          <w:sz w:val="24"/>
          <w:szCs w:val="24"/>
          <w:u w:val="single"/>
          <w:lang w:eastAsia="hu-HU"/>
        </w:rPr>
        <w:t>Környezeti következmények, hatások</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A tűzifa elégetése nem okoz akkora légszennyezettséget, mint az esetleg szegényebb családok által használt anyagok.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numPr>
          <w:ilvl w:val="0"/>
          <w:numId w:val="1"/>
        </w:numPr>
        <w:spacing w:before="0" w:after="0"/>
        <w:jc w:val="both"/>
        <w:rPr>
          <w:rFonts w:ascii="Times New Roman" w:hAnsi="Times New Roman"/>
          <w:bCs/>
          <w:i/>
          <w:i/>
          <w:iCs/>
          <w:sz w:val="24"/>
          <w:szCs w:val="24"/>
          <w:u w:val="single"/>
          <w:lang w:eastAsia="hu-HU"/>
        </w:rPr>
      </w:pPr>
      <w:r>
        <w:rPr>
          <w:rFonts w:ascii="Times New Roman" w:hAnsi="Times New Roman"/>
          <w:bCs/>
          <w:i/>
          <w:iCs/>
          <w:sz w:val="24"/>
          <w:szCs w:val="24"/>
          <w:u w:val="single"/>
          <w:lang w:eastAsia="hu-HU"/>
        </w:rPr>
        <w:t>Egészségügyi következmények, hatások</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Nincsenek.</w:t>
      </w:r>
    </w:p>
    <w:p>
      <w:pPr>
        <w:pStyle w:val="Normal"/>
        <w:spacing w:before="0" w:after="0"/>
        <w:jc w:val="both"/>
        <w:rPr>
          <w:rFonts w:ascii="Times New Roman" w:hAnsi="Times New Roman"/>
          <w:bCs/>
          <w:i/>
          <w:i/>
          <w:iCs/>
          <w:sz w:val="24"/>
          <w:szCs w:val="24"/>
          <w:u w:val="single"/>
          <w:lang w:eastAsia="hu-HU"/>
        </w:rPr>
      </w:pPr>
      <w:r>
        <w:rPr>
          <w:rFonts w:ascii="Times New Roman" w:hAnsi="Times New Roman"/>
          <w:bCs/>
          <w:i/>
          <w:iCs/>
          <w:sz w:val="24"/>
          <w:szCs w:val="24"/>
          <w:u w:val="single"/>
          <w:lang w:eastAsia="hu-HU"/>
        </w:rPr>
      </w:r>
    </w:p>
    <w:p>
      <w:pPr>
        <w:pStyle w:val="Normal"/>
        <w:numPr>
          <w:ilvl w:val="0"/>
          <w:numId w:val="1"/>
        </w:numPr>
        <w:spacing w:before="0" w:after="0"/>
        <w:jc w:val="both"/>
        <w:rPr>
          <w:rFonts w:ascii="Times New Roman" w:hAnsi="Times New Roman"/>
          <w:bCs/>
          <w:i/>
          <w:i/>
          <w:iCs/>
          <w:sz w:val="24"/>
          <w:szCs w:val="24"/>
          <w:u w:val="single"/>
          <w:lang w:eastAsia="hu-HU"/>
        </w:rPr>
      </w:pPr>
      <w:r>
        <w:rPr>
          <w:rFonts w:ascii="Times New Roman" w:hAnsi="Times New Roman"/>
          <w:bCs/>
          <w:i/>
          <w:iCs/>
          <w:sz w:val="24"/>
          <w:szCs w:val="24"/>
          <w:u w:val="single"/>
          <w:lang w:eastAsia="hu-HU"/>
        </w:rPr>
        <w:t>Adminisztratív terheket befolyásoló hatások</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A rendelet végrehajtása átmenetileg nagyobb terhet ró a Közös Önkormányzati Hivatal munkatársaira, ugyanis a napi feladatok ellátása mellett határozatok meghozatala is rájuk hárul.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numPr>
          <w:ilvl w:val="0"/>
          <w:numId w:val="1"/>
        </w:numPr>
        <w:spacing w:before="0" w:after="0"/>
        <w:jc w:val="both"/>
        <w:rPr>
          <w:rFonts w:ascii="Times New Roman" w:hAnsi="Times New Roman"/>
          <w:bCs/>
          <w:i/>
          <w:i/>
          <w:iCs/>
          <w:sz w:val="24"/>
          <w:szCs w:val="24"/>
          <w:u w:val="single"/>
          <w:lang w:eastAsia="hu-HU"/>
        </w:rPr>
      </w:pPr>
      <w:r>
        <w:rPr>
          <w:rFonts w:ascii="Times New Roman" w:hAnsi="Times New Roman"/>
          <w:bCs/>
          <w:i/>
          <w:iCs/>
          <w:sz w:val="24"/>
          <w:szCs w:val="24"/>
          <w:u w:val="single"/>
          <w:lang w:eastAsia="hu-HU"/>
        </w:rPr>
        <w:t>A jogszabály megalkotásának szükségessége, a jogalkotás elmaradásának várható következményei</w:t>
      </w:r>
    </w:p>
    <w:p>
      <w:pPr>
        <w:pStyle w:val="Normal"/>
        <w:spacing w:before="0" w:after="0"/>
        <w:jc w:val="both"/>
        <w:rPr>
          <w:rFonts w:ascii="Times New Roman" w:hAnsi="Times New Roman"/>
          <w:sz w:val="24"/>
          <w:szCs w:val="24"/>
          <w:lang w:eastAsia="hu-HU"/>
        </w:rPr>
      </w:pPr>
      <w:r>
        <w:rPr>
          <w:rFonts w:ascii="Times New Roman" w:hAnsi="Times New Roman"/>
          <w:sz w:val="24"/>
          <w:szCs w:val="24"/>
          <w:lang w:eastAsia="hu-HU"/>
        </w:rPr>
        <w:t>A Magyarország 2016. évi központi költségvetéséről szóló 2015. évi C. törvény 1. melléklet IX. Helyi önkormányzatok támogatási fejezet 18.   A helyi önkormányzatok szociális célú tüzelőanyag vásárlásához kapcsolódó kiegészítő támogatása jogcím  keretében, támogatásra az idei évben is lehetőség nyílt. A pályázat benyújtásra került a Képviselő-testület 104/2016. (09. 22.)  Kt. határozata alapján.</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A Belügyminiszter döntése alapján Önkormányzatunk a megpályázott összeget,vissza nem térítendő támogatásként elnyerte,  melyet 38 erdei köbméter keménylombos tűzifavásárlásra használhatjuk fel. Ennek elosztása miatt, valamint az említett BM rendelet előírásai alapján helyi rendelet megalkotása vált szükségessé. Amennyiben az önkormányzat a támogatási összeget a fenti célra nem, vagy csak részben tudja felhasználni annak maradványát köteles visszafizetni a költségvetés részére.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numPr>
          <w:ilvl w:val="0"/>
          <w:numId w:val="1"/>
        </w:numPr>
        <w:spacing w:before="0" w:after="0"/>
        <w:jc w:val="both"/>
        <w:rPr>
          <w:rFonts w:ascii="Times New Roman" w:hAnsi="Times New Roman"/>
          <w:bCs/>
          <w:i/>
          <w:i/>
          <w:iCs/>
          <w:sz w:val="24"/>
          <w:szCs w:val="24"/>
          <w:u w:val="single"/>
          <w:lang w:eastAsia="hu-HU"/>
        </w:rPr>
      </w:pPr>
      <w:r>
        <w:rPr>
          <w:rFonts w:ascii="Times New Roman" w:hAnsi="Times New Roman"/>
          <w:bCs/>
          <w:i/>
          <w:iCs/>
          <w:sz w:val="24"/>
          <w:szCs w:val="24"/>
          <w:u w:val="single"/>
          <w:lang w:eastAsia="hu-HU"/>
        </w:rPr>
        <w:t>A jogszabályi alkalmazáshoz szükséges személyi, szervezeti, tárgyi és pénzügyi feltételek</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t xml:space="preserve">A jogszabály alkalmazásához szükséges személyi, tárgyi, szervezeti, pénzügyi feltételek rendelkezésre állnak. </w:t>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bCs/>
          <w:iCs/>
          <w:sz w:val="24"/>
          <w:szCs w:val="24"/>
          <w:lang w:eastAsia="hu-HU"/>
        </w:rPr>
      </w:pPr>
      <w:r>
        <w:rPr>
          <w:rFonts w:ascii="Times New Roman" w:hAnsi="Times New Roman"/>
          <w:bCs/>
          <w:iCs/>
          <w:sz w:val="24"/>
          <w:szCs w:val="24"/>
          <w:lang w:eastAsia="hu-HU"/>
        </w:rPr>
      </w:r>
    </w:p>
    <w:p>
      <w:pPr>
        <w:pStyle w:val="Normal"/>
        <w:spacing w:before="0" w:after="0"/>
        <w:jc w:val="both"/>
        <w:rPr>
          <w:rFonts w:ascii="Times New Roman" w:hAnsi="Times New Roman"/>
          <w:sz w:val="24"/>
          <w:szCs w:val="24"/>
          <w:lang w:eastAsia="hu-HU"/>
        </w:rPr>
      </w:pPr>
      <w:r>
        <w:rPr>
          <w:rFonts w:ascii="Times New Roman" w:hAnsi="Times New Roman"/>
          <w:sz w:val="24"/>
          <w:szCs w:val="24"/>
          <w:lang w:eastAsia="hu-HU"/>
        </w:rPr>
      </w:r>
    </w:p>
    <w:p>
      <w:pPr>
        <w:pStyle w:val="Normal"/>
        <w:spacing w:before="0" w:after="0"/>
        <w:jc w:val="both"/>
        <w:rPr>
          <w:rFonts w:ascii="Times New Roman" w:hAnsi="Times New Roman"/>
          <w:sz w:val="24"/>
          <w:szCs w:val="24"/>
          <w:lang w:eastAsia="hu-HU"/>
        </w:rPr>
      </w:pPr>
      <w:r>
        <w:rPr>
          <w:rFonts w:ascii="Times New Roman" w:hAnsi="Times New Roman"/>
          <w:sz w:val="24"/>
          <w:szCs w:val="24"/>
          <w:lang w:eastAsia="hu-HU"/>
        </w:rPr>
      </w:r>
    </w:p>
    <w:p>
      <w:pPr>
        <w:pStyle w:val="Normal"/>
        <w:spacing w:before="0" w:after="0"/>
        <w:jc w:val="both"/>
        <w:rPr>
          <w:rFonts w:ascii="Times New Roman" w:hAnsi="Times New Roman"/>
          <w:sz w:val="24"/>
          <w:szCs w:val="24"/>
          <w:lang w:eastAsia="hu-HU"/>
        </w:rPr>
      </w:pPr>
      <w:r>
        <w:rPr>
          <w:rFonts w:ascii="Times New Roman" w:hAnsi="Times New Roman"/>
          <w:sz w:val="24"/>
          <w:szCs w:val="24"/>
          <w:lang w:eastAsia="hu-HU"/>
        </w:rPr>
      </w:r>
    </w:p>
    <w:p>
      <w:pPr>
        <w:pStyle w:val="Normal"/>
        <w:spacing w:before="0" w:after="0"/>
        <w:jc w:val="both"/>
        <w:rPr>
          <w:rFonts w:ascii="Times New Roman" w:hAnsi="Times New Roman"/>
          <w:b/>
          <w:b/>
          <w:sz w:val="24"/>
          <w:szCs w:val="24"/>
          <w:lang w:eastAsia="hu-HU"/>
        </w:rPr>
      </w:pPr>
      <w:r>
        <w:rPr>
          <w:rFonts w:ascii="Times New Roman" w:hAnsi="Times New Roman"/>
          <w:b/>
          <w:sz w:val="24"/>
          <w:szCs w:val="24"/>
          <w:lang w:eastAsia="hu-HU"/>
        </w:rPr>
      </w:r>
    </w:p>
    <w:p>
      <w:pPr>
        <w:pStyle w:val="Normal"/>
        <w:spacing w:before="0" w:after="0"/>
        <w:jc w:val="both"/>
        <w:rPr>
          <w:rFonts w:ascii="Times New Roman" w:hAnsi="Times New Roman"/>
          <w:sz w:val="24"/>
          <w:szCs w:val="24"/>
          <w:lang w:eastAsia="hu-HU"/>
        </w:rPr>
      </w:pPr>
      <w:r>
        <w:rPr>
          <w:rFonts w:ascii="Times New Roman" w:hAnsi="Times New Roman"/>
          <w:sz w:val="24"/>
          <w:szCs w:val="24"/>
          <w:lang w:eastAsia="hu-HU"/>
        </w:rPr>
      </w:r>
    </w:p>
    <w:p>
      <w:pPr>
        <w:pStyle w:val="Normal"/>
        <w:spacing w:before="0" w:after="0"/>
        <w:jc w:val="both"/>
        <w:rPr/>
      </w:pPr>
      <w:r>
        <w:rPr/>
      </w:r>
    </w:p>
    <w:p>
      <w:pPr>
        <w:pStyle w:val="Normal"/>
        <w:widowControl/>
        <w:suppressAutoHyphens w:val="true"/>
        <w:bidi w:val="0"/>
        <w:spacing w:lineRule="auto" w:line="276" w:before="0" w:after="200"/>
        <w:jc w:val="left"/>
        <w:rPr/>
      </w:pPr>
      <w:r>
        <w:rPr/>
      </w:r>
    </w:p>
    <w:sectPr>
      <w:type w:val="nextPage"/>
      <w:pgSz w:w="11906" w:h="16838"/>
      <w:pgMar w:left="1417" w:right="1417" w:header="0" w:top="1417" w:footer="0" w:bottom="1417" w:gutter="0"/>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hu-H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c4853"/>
    <w:pPr>
      <w:widowControl/>
      <w:suppressAutoHyphens w:val="true"/>
      <w:bidi w:val="0"/>
      <w:spacing w:lineRule="auto" w:line="276" w:before="0" w:after="200"/>
      <w:jc w:val="left"/>
    </w:pPr>
    <w:rPr>
      <w:rFonts w:ascii="Calibri" w:hAnsi="Calibri" w:eastAsia="Calibri" w:cs="Times New Roman"/>
      <w:color w:val="00000A"/>
      <w:kern w:val="0"/>
      <w:sz w:val="22"/>
      <w:szCs w:val="22"/>
      <w:lang w:val="hu-HU" w:eastAsia="en-US" w:bidi="ar-SA"/>
    </w:rPr>
  </w:style>
  <w:style w:type="character" w:styleId="DefaultParagraphFont" w:default="1">
    <w:name w:val="Default Paragraph Font"/>
    <w:uiPriority w:val="1"/>
    <w:semiHidden/>
    <w:unhideWhenUsed/>
    <w:qFormat/>
    <w:rPr/>
  </w:style>
  <w:style w:type="paragraph" w:styleId="Cmsor">
    <w:name w:val="Címsor"/>
    <w:basedOn w:val="Normal"/>
    <w:next w:val="Szvegtrzs"/>
    <w:qFormat/>
    <w:pPr>
      <w:keepNext/>
      <w:spacing w:before="240" w:after="120"/>
    </w:pPr>
    <w:rPr>
      <w:rFonts w:ascii="Liberation Sans" w:hAnsi="Liberation Sans" w:eastAsia="Microsoft YaHei" w:cs="Mangal"/>
      <w:sz w:val="28"/>
      <w:szCs w:val="28"/>
    </w:rPr>
  </w:style>
  <w:style w:type="paragraph" w:styleId="Szvegtrzs">
    <w:name w:val="Body Text"/>
    <w:basedOn w:val="Normal"/>
    <w:pPr>
      <w:spacing w:lineRule="auto" w:line="288" w:before="0" w:after="140"/>
    </w:pPr>
    <w:rPr/>
  </w:style>
  <w:style w:type="paragraph" w:styleId="Lista">
    <w:name w:val="List"/>
    <w:basedOn w:val="Szvegtrzs"/>
    <w:pPr/>
    <w:rPr>
      <w:rFonts w:cs="Mangal"/>
    </w:rPr>
  </w:style>
  <w:style w:type="paragraph" w:styleId="Felirat">
    <w:name w:val="Caption"/>
    <w:basedOn w:val="Normal"/>
    <w:qFormat/>
    <w:pPr>
      <w:suppressLineNumbers/>
      <w:spacing w:before="120" w:after="120"/>
    </w:pPr>
    <w:rPr>
      <w:rFonts w:cs="Mangal"/>
      <w:i/>
      <w:iCs/>
      <w:sz w:val="24"/>
      <w:szCs w:val="24"/>
    </w:rPr>
  </w:style>
  <w:style w:type="paragraph" w:styleId="Trgymutat">
    <w:name w:val="Tárgymutató"/>
    <w:basedOn w:val="Normal"/>
    <w:qFormat/>
    <w:pPr>
      <w:suppressLineNumbers/>
    </w:pPr>
    <w:rPr>
      <w:rFonts w:cs="Mangal"/>
    </w:rPr>
  </w:style>
  <w:style w:type="numbering" w:styleId="NoList" w:default="1">
    <w:name w:val="No List"/>
    <w:uiPriority w:val="99"/>
    <w:semiHidden/>
    <w:unhideWhenUsed/>
    <w:qFormat/>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Application>LibreOffice/5.4.0.3$Windows_x86 LibreOffice_project/7556cbc6811c9d992f4064ab9287069087d7f62c</Application>
  <Pages>3</Pages>
  <Words>467</Words>
  <Characters>3303</Characters>
  <CharactersWithSpaces>3754</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2015-12-09T09:35:00Z</dcterms:created>
  <dc:creator>kirendeltseg</dc:creator>
  <dc:description/>
  <dc:language>hu-HU</dc:language>
  <cp:lastModifiedBy/>
  <dcterms:modified xsi:type="dcterms:W3CDTF">2018-11-21T14:26:28Z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