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5DD" w:rsidRDefault="005C05DD" w:rsidP="005C05DD"/>
    <w:p w:rsidR="00957098" w:rsidRPr="00957098" w:rsidRDefault="00957098" w:rsidP="00957098">
      <w:pPr>
        <w:keepNext/>
        <w:numPr>
          <w:ilvl w:val="12"/>
          <w:numId w:val="0"/>
        </w:numPr>
        <w:outlineLvl w:val="2"/>
        <w:rPr>
          <w:rFonts w:cs="Trebuchet MS"/>
          <w:b/>
          <w:bCs/>
          <w:caps/>
        </w:rPr>
      </w:pPr>
      <w:bookmarkStart w:id="0" w:name="_Toc273010734"/>
      <w:r w:rsidRPr="00957098">
        <w:rPr>
          <w:rFonts w:cs="Trebuchet MS"/>
          <w:b/>
          <w:bCs/>
          <w:caps/>
        </w:rPr>
        <w:t>10. sz. függelék</w:t>
      </w:r>
      <w:bookmarkEnd w:id="0"/>
    </w:p>
    <w:p w:rsidR="00957098" w:rsidRPr="00957098" w:rsidRDefault="00957098" w:rsidP="00957098">
      <w:pPr>
        <w:keepNext/>
        <w:numPr>
          <w:ilvl w:val="12"/>
          <w:numId w:val="0"/>
        </w:numPr>
        <w:outlineLvl w:val="2"/>
        <w:rPr>
          <w:rFonts w:cs="Trebuchet MS"/>
          <w:b/>
          <w:bCs/>
          <w:szCs w:val="24"/>
        </w:rPr>
      </w:pPr>
      <w:bookmarkStart w:id="1" w:name="_Toc273010735"/>
      <w:r w:rsidRPr="00957098">
        <w:rPr>
          <w:rFonts w:cs="Trebuchet MS"/>
          <w:b/>
          <w:bCs/>
          <w:szCs w:val="24"/>
        </w:rPr>
        <w:t>Értelmező rendelkezések</w:t>
      </w:r>
      <w:bookmarkEnd w:id="1"/>
    </w:p>
    <w:p w:rsidR="00957098" w:rsidRPr="00957098" w:rsidRDefault="00957098" w:rsidP="00957098"/>
    <w:p w:rsidR="00957098" w:rsidRPr="00957098" w:rsidRDefault="00957098" w:rsidP="00957098">
      <w:pPr>
        <w:numPr>
          <w:ilvl w:val="0"/>
          <w:numId w:val="6"/>
        </w:numPr>
        <w:tabs>
          <w:tab w:val="num" w:pos="360"/>
        </w:tabs>
        <w:suppressAutoHyphens/>
        <w:spacing w:after="0"/>
        <w:ind w:left="360"/>
        <w:rPr>
          <w:szCs w:val="22"/>
          <w:lang w:eastAsia="ar-SA"/>
        </w:rPr>
      </w:pPr>
      <w:r w:rsidRPr="00957098">
        <w:rPr>
          <w:szCs w:val="22"/>
          <w:lang w:eastAsia="ar-SA"/>
        </w:rPr>
        <w:t>Beépítettség: a bruttó földszinti alapterület és a telekterület hányadosa</w:t>
      </w:r>
    </w:p>
    <w:p w:rsidR="00957098" w:rsidRPr="00957098" w:rsidRDefault="00957098" w:rsidP="00957098">
      <w:pPr>
        <w:numPr>
          <w:ilvl w:val="0"/>
          <w:numId w:val="6"/>
        </w:numPr>
        <w:tabs>
          <w:tab w:val="num" w:pos="360"/>
        </w:tabs>
        <w:suppressAutoHyphens/>
        <w:spacing w:after="0"/>
        <w:ind w:left="360"/>
        <w:rPr>
          <w:szCs w:val="22"/>
          <w:lang w:eastAsia="ar-SA"/>
        </w:rPr>
      </w:pPr>
      <w:r w:rsidRPr="00957098">
        <w:rPr>
          <w:szCs w:val="22"/>
          <w:lang w:eastAsia="ar-SA"/>
        </w:rPr>
        <w:t>Birtokközpont: A mezőgazdasági területen több önálló telekből a 22. pont szerinti birtoktest alakítható ki. A birtoktest esetében a 3%-os beépíthetőség a birtoktesthez tartozó összes telek területe után számítva csak az egyik telken is kihasználható (birtokközpont), ha a telek területe legalább a 10 000 m</w:t>
      </w:r>
      <w:r w:rsidRPr="00957098">
        <w:rPr>
          <w:szCs w:val="22"/>
          <w:vertAlign w:val="superscript"/>
          <w:lang w:eastAsia="ar-SA"/>
        </w:rPr>
        <w:t>2</w:t>
      </w:r>
      <w:r w:rsidRPr="00957098">
        <w:rPr>
          <w:szCs w:val="22"/>
          <w:lang w:eastAsia="ar-SA"/>
        </w:rPr>
        <w:t xml:space="preserve">-t eléri és a beépítés a szomszédos telkek rendeltetésszerű használatára </w:t>
      </w:r>
      <w:proofErr w:type="gramStart"/>
      <w:r w:rsidRPr="00957098">
        <w:rPr>
          <w:szCs w:val="22"/>
          <w:lang w:eastAsia="ar-SA"/>
        </w:rPr>
        <w:t>nincs</w:t>
      </w:r>
      <w:proofErr w:type="gramEnd"/>
      <w:r w:rsidRPr="00957098">
        <w:rPr>
          <w:szCs w:val="22"/>
          <w:lang w:eastAsia="ar-SA"/>
        </w:rPr>
        <w:t xml:space="preserve"> korlátozó hatással illetőleg azt nem veszélyezteti. A birtok-központ telkén a beépítettség a 45%-ot nem haladhatja meg.</w:t>
      </w:r>
    </w:p>
    <w:p w:rsidR="00957098" w:rsidRPr="00957098" w:rsidRDefault="00957098" w:rsidP="00957098">
      <w:pPr>
        <w:numPr>
          <w:ilvl w:val="0"/>
          <w:numId w:val="6"/>
        </w:numPr>
        <w:tabs>
          <w:tab w:val="num" w:pos="360"/>
        </w:tabs>
        <w:suppressAutoHyphens/>
        <w:spacing w:after="0"/>
        <w:ind w:left="360"/>
        <w:rPr>
          <w:szCs w:val="22"/>
          <w:lang w:eastAsia="ar-SA"/>
        </w:rPr>
      </w:pPr>
      <w:r w:rsidRPr="00957098">
        <w:rPr>
          <w:szCs w:val="22"/>
          <w:lang w:eastAsia="ar-SA"/>
        </w:rPr>
        <w:t xml:space="preserve">Építési határvonal: a telek előkertjét, oldalkertjét és hátsókertjét meghatározó vonalak. </w:t>
      </w:r>
    </w:p>
    <w:p w:rsidR="00957098" w:rsidRPr="00957098" w:rsidRDefault="00957098" w:rsidP="00957098">
      <w:pPr>
        <w:numPr>
          <w:ilvl w:val="0"/>
          <w:numId w:val="6"/>
        </w:numPr>
        <w:tabs>
          <w:tab w:val="num" w:pos="360"/>
        </w:tabs>
        <w:suppressAutoHyphens/>
        <w:spacing w:after="0"/>
        <w:ind w:left="360"/>
        <w:rPr>
          <w:szCs w:val="22"/>
          <w:lang w:eastAsia="ar-SA"/>
        </w:rPr>
      </w:pPr>
      <w:r w:rsidRPr="00957098">
        <w:rPr>
          <w:szCs w:val="22"/>
          <w:lang w:eastAsia="ar-SA"/>
        </w:rPr>
        <w:t xml:space="preserve">Építési hely (telek beépíthető része): az építési teleknek az elő-, oldal- és hátsókerti építési határvonalai által körülhatárolt területrésze, amelyen - a védőtávolságok megtartásával - az övezeti </w:t>
      </w:r>
      <w:proofErr w:type="spellStart"/>
      <w:r w:rsidRPr="00957098">
        <w:rPr>
          <w:szCs w:val="22"/>
          <w:lang w:eastAsia="ar-SA"/>
        </w:rPr>
        <w:t>előirások</w:t>
      </w:r>
      <w:proofErr w:type="spellEnd"/>
      <w:r w:rsidRPr="00957098">
        <w:rPr>
          <w:szCs w:val="22"/>
          <w:lang w:eastAsia="ar-SA"/>
        </w:rPr>
        <w:t xml:space="preserve"> szerinti telekbeépítettség mértékéig az </w:t>
      </w:r>
      <w:proofErr w:type="gramStart"/>
      <w:r w:rsidRPr="00957098">
        <w:rPr>
          <w:szCs w:val="22"/>
          <w:lang w:eastAsia="ar-SA"/>
        </w:rPr>
        <w:t>épület(</w:t>
      </w:r>
      <w:proofErr w:type="spellStart"/>
      <w:proofErr w:type="gramEnd"/>
      <w:r w:rsidRPr="00957098">
        <w:rPr>
          <w:szCs w:val="22"/>
          <w:lang w:eastAsia="ar-SA"/>
        </w:rPr>
        <w:t>ek</w:t>
      </w:r>
      <w:proofErr w:type="spellEnd"/>
      <w:r w:rsidRPr="00957098">
        <w:rPr>
          <w:szCs w:val="22"/>
          <w:lang w:eastAsia="ar-SA"/>
        </w:rPr>
        <w:t xml:space="preserve">) elhelyezhető(k). </w:t>
      </w:r>
    </w:p>
    <w:p w:rsidR="00957098" w:rsidRPr="00957098" w:rsidRDefault="00957098" w:rsidP="00957098">
      <w:pPr>
        <w:numPr>
          <w:ilvl w:val="0"/>
          <w:numId w:val="6"/>
        </w:numPr>
        <w:tabs>
          <w:tab w:val="num" w:pos="360"/>
        </w:tabs>
        <w:suppressAutoHyphens/>
        <w:spacing w:after="0"/>
        <w:ind w:left="360"/>
        <w:rPr>
          <w:szCs w:val="22"/>
          <w:lang w:eastAsia="ar-SA"/>
        </w:rPr>
      </w:pPr>
      <w:r w:rsidRPr="00957098">
        <w:rPr>
          <w:szCs w:val="22"/>
          <w:lang w:eastAsia="ar-SA"/>
        </w:rPr>
        <w:t>Építési vonal: az a hely, ahová az épület homlokvonala kerül, az előkertre vonatkozó előírások betartásával.</w:t>
      </w:r>
    </w:p>
    <w:p w:rsidR="00957098" w:rsidRPr="00957098" w:rsidRDefault="00957098" w:rsidP="00957098">
      <w:pPr>
        <w:numPr>
          <w:ilvl w:val="0"/>
          <w:numId w:val="6"/>
        </w:numPr>
        <w:tabs>
          <w:tab w:val="num" w:pos="360"/>
        </w:tabs>
        <w:suppressAutoHyphens/>
        <w:spacing w:after="0"/>
        <w:ind w:left="360"/>
        <w:rPr>
          <w:szCs w:val="22"/>
          <w:lang w:eastAsia="ar-SA"/>
        </w:rPr>
      </w:pPr>
      <w:r w:rsidRPr="00957098">
        <w:rPr>
          <w:szCs w:val="22"/>
          <w:lang w:eastAsia="ar-SA"/>
        </w:rPr>
        <w:t xml:space="preserve">Helyes mezőgazdálkodási gyakorlat: célja a vizek </w:t>
      </w:r>
      <w:proofErr w:type="spellStart"/>
      <w:r w:rsidRPr="00957098">
        <w:rPr>
          <w:szCs w:val="22"/>
          <w:lang w:eastAsia="ar-SA"/>
        </w:rPr>
        <w:t>nitrátszennyezésének</w:t>
      </w:r>
      <w:proofErr w:type="spellEnd"/>
      <w:r w:rsidRPr="00957098">
        <w:rPr>
          <w:szCs w:val="22"/>
          <w:lang w:eastAsia="ar-SA"/>
        </w:rPr>
        <w:t xml:space="preserve"> megelőzése, csökkentése oly módon, hogy biztosítani lehessen a növények optimális tápanyagellátását, valamint a talajok termékenységének fenntartását, ugyanakkor be kell tartani a trágyázásra, trágyakezelésre, erózióvédelemre, öntözésre vonatkozó előírásokat.</w:t>
      </w:r>
    </w:p>
    <w:p w:rsidR="00957098" w:rsidRPr="00957098" w:rsidRDefault="00957098" w:rsidP="00957098">
      <w:pPr>
        <w:numPr>
          <w:ilvl w:val="0"/>
          <w:numId w:val="6"/>
        </w:numPr>
        <w:tabs>
          <w:tab w:val="num" w:pos="360"/>
        </w:tabs>
        <w:suppressAutoHyphens/>
        <w:spacing w:after="0"/>
        <w:ind w:left="360"/>
        <w:rPr>
          <w:szCs w:val="22"/>
          <w:lang w:eastAsia="ar-SA"/>
        </w:rPr>
      </w:pPr>
      <w:r w:rsidRPr="00957098">
        <w:rPr>
          <w:szCs w:val="22"/>
          <w:lang w:eastAsia="ar-SA"/>
        </w:rPr>
        <w:t xml:space="preserve">Homlokzatmagasság (H): az építmény terepcsatlakozása feletti  vetületének átlagos magassága, melynek számítása </w:t>
      </w:r>
      <w:proofErr w:type="gramStart"/>
      <w:r w:rsidRPr="00957098">
        <w:rPr>
          <w:szCs w:val="22"/>
          <w:lang w:eastAsia="ar-SA"/>
        </w:rPr>
        <w:t>során figyelmen</w:t>
      </w:r>
      <w:proofErr w:type="gramEnd"/>
      <w:r w:rsidRPr="00957098">
        <w:rPr>
          <w:szCs w:val="22"/>
          <w:lang w:eastAsia="ar-SA"/>
        </w:rPr>
        <w:t xml:space="preserve"> kívül kell hagyni.</w:t>
      </w:r>
    </w:p>
    <w:p w:rsidR="00957098" w:rsidRPr="00957098" w:rsidRDefault="00957098" w:rsidP="00957098">
      <w:pPr>
        <w:numPr>
          <w:ilvl w:val="1"/>
          <w:numId w:val="5"/>
        </w:numPr>
        <w:tabs>
          <w:tab w:val="num" w:pos="900"/>
        </w:tabs>
        <w:suppressAutoHyphens/>
        <w:spacing w:after="0"/>
        <w:ind w:left="900" w:right="-3"/>
        <w:rPr>
          <w:rFonts w:cs="Tahoma"/>
        </w:rPr>
      </w:pPr>
      <w:r w:rsidRPr="00957098">
        <w:rPr>
          <w:rFonts w:cs="Tahoma"/>
        </w:rPr>
        <w:t>a kémények, szellőzőkürtök, tetőszerelvények magasságát.</w:t>
      </w:r>
    </w:p>
    <w:p w:rsidR="00957098" w:rsidRPr="00957098" w:rsidRDefault="00957098" w:rsidP="00957098">
      <w:pPr>
        <w:numPr>
          <w:ilvl w:val="1"/>
          <w:numId w:val="5"/>
        </w:numPr>
        <w:tabs>
          <w:tab w:val="num" w:pos="900"/>
        </w:tabs>
        <w:suppressAutoHyphens/>
        <w:spacing w:after="0"/>
        <w:ind w:left="900" w:right="-3"/>
        <w:rPr>
          <w:rFonts w:cs="Tahoma"/>
        </w:rPr>
      </w:pPr>
      <w:r w:rsidRPr="00957098">
        <w:rPr>
          <w:rFonts w:cs="Tahoma"/>
        </w:rPr>
        <w:t>a vizsgált homlokzatfelülettől 12 m-nél távolabbi (hátrább álló) építményrészeket,</w:t>
      </w:r>
    </w:p>
    <w:p w:rsidR="00957098" w:rsidRPr="00957098" w:rsidRDefault="00957098" w:rsidP="00957098">
      <w:pPr>
        <w:numPr>
          <w:ilvl w:val="1"/>
          <w:numId w:val="5"/>
        </w:numPr>
        <w:tabs>
          <w:tab w:val="num" w:pos="900"/>
        </w:tabs>
        <w:suppressAutoHyphens/>
        <w:spacing w:after="0"/>
        <w:ind w:left="900" w:right="-3"/>
        <w:rPr>
          <w:rFonts w:cs="Tahoma"/>
        </w:rPr>
      </w:pPr>
      <w:r w:rsidRPr="00957098">
        <w:rPr>
          <w:rFonts w:cs="Tahoma"/>
        </w:rPr>
        <w:t xml:space="preserve">a vizsgálat homlokzatfelület vízszintes </w:t>
      </w:r>
      <w:proofErr w:type="spellStart"/>
      <w:r w:rsidRPr="00957098">
        <w:rPr>
          <w:rFonts w:cs="Tahoma"/>
        </w:rPr>
        <w:t>összhosszának</w:t>
      </w:r>
      <w:proofErr w:type="spellEnd"/>
      <w:r w:rsidRPr="00957098">
        <w:rPr>
          <w:rFonts w:cs="Tahoma"/>
        </w:rPr>
        <w:t xml:space="preserve"> egyharmadát meg nem haladó </w:t>
      </w:r>
      <w:proofErr w:type="spellStart"/>
      <w:r w:rsidRPr="00957098">
        <w:rPr>
          <w:rFonts w:cs="Tahoma"/>
        </w:rPr>
        <w:t>összhosszúságú</w:t>
      </w:r>
      <w:proofErr w:type="spellEnd"/>
      <w:r w:rsidRPr="00957098">
        <w:rPr>
          <w:rFonts w:cs="Tahoma"/>
        </w:rPr>
        <w:t xml:space="preserve"> és legfeljebb 3 m </w:t>
      </w:r>
      <w:proofErr w:type="spellStart"/>
      <w:r w:rsidRPr="00957098">
        <w:rPr>
          <w:rFonts w:cs="Tahoma"/>
        </w:rPr>
        <w:t>magasságútetőfelépítmény</w:t>
      </w:r>
      <w:proofErr w:type="spellEnd"/>
      <w:r w:rsidRPr="00957098">
        <w:rPr>
          <w:rFonts w:cs="Tahoma"/>
        </w:rPr>
        <w:t>, építményrész, attika, álló tetőablak,</w:t>
      </w:r>
    </w:p>
    <w:p w:rsidR="00957098" w:rsidRPr="00957098" w:rsidRDefault="00957098" w:rsidP="00957098">
      <w:pPr>
        <w:numPr>
          <w:ilvl w:val="1"/>
          <w:numId w:val="5"/>
        </w:numPr>
        <w:tabs>
          <w:tab w:val="num" w:pos="900"/>
        </w:tabs>
        <w:suppressAutoHyphens/>
        <w:spacing w:after="0"/>
        <w:ind w:left="900" w:right="-3"/>
        <w:rPr>
          <w:rFonts w:cs="Tahoma"/>
        </w:rPr>
      </w:pPr>
      <w:r w:rsidRPr="00957098">
        <w:rPr>
          <w:rFonts w:cs="Tahoma"/>
        </w:rPr>
        <w:t xml:space="preserve">terepbevágás mögötti </w:t>
      </w:r>
      <w:proofErr w:type="gramStart"/>
      <w:r w:rsidRPr="00957098">
        <w:rPr>
          <w:rFonts w:cs="Tahoma"/>
        </w:rPr>
        <w:t>homlokzatrész  magasságát</w:t>
      </w:r>
      <w:proofErr w:type="gramEnd"/>
      <w:r w:rsidRPr="00957098">
        <w:rPr>
          <w:rFonts w:cs="Tahoma"/>
        </w:rPr>
        <w:t>, továbbá</w:t>
      </w:r>
    </w:p>
    <w:p w:rsidR="00957098" w:rsidRPr="00957098" w:rsidRDefault="00957098" w:rsidP="00957098">
      <w:pPr>
        <w:numPr>
          <w:ilvl w:val="1"/>
          <w:numId w:val="5"/>
        </w:numPr>
        <w:tabs>
          <w:tab w:val="num" w:pos="900"/>
        </w:tabs>
        <w:suppressAutoHyphens/>
        <w:spacing w:after="0"/>
        <w:ind w:left="900" w:right="-3"/>
        <w:rPr>
          <w:rFonts w:cs="Tahoma"/>
        </w:rPr>
      </w:pPr>
      <w:r w:rsidRPr="00957098">
        <w:rPr>
          <w:rFonts w:cs="Tahoma"/>
        </w:rPr>
        <w:t xml:space="preserve">a </w:t>
      </w:r>
      <w:proofErr w:type="spellStart"/>
      <w:r w:rsidRPr="00957098">
        <w:rPr>
          <w:rFonts w:cs="Tahoma"/>
        </w:rPr>
        <w:t>magastető</w:t>
      </w:r>
      <w:proofErr w:type="spellEnd"/>
      <w:r w:rsidRPr="00957098">
        <w:rPr>
          <w:rFonts w:cs="Tahoma"/>
        </w:rPr>
        <w:t xml:space="preserve"> és oromfalainak 6 m-t meg nem haladó magasságú részét. A gömb, félgömb, donga vagy sátortető alakú építmények („tetőépítmények”) homlokzatmagasságát, ha az </w:t>
      </w:r>
      <w:proofErr w:type="gramStart"/>
      <w:r w:rsidRPr="00957098">
        <w:rPr>
          <w:rFonts w:cs="Tahoma"/>
        </w:rPr>
        <w:t>a</w:t>
      </w:r>
      <w:proofErr w:type="gramEnd"/>
    </w:p>
    <w:p w:rsidR="00957098" w:rsidRPr="00957098" w:rsidRDefault="00957098" w:rsidP="00957098">
      <w:pPr>
        <w:numPr>
          <w:ilvl w:val="1"/>
          <w:numId w:val="5"/>
        </w:numPr>
        <w:tabs>
          <w:tab w:val="num" w:pos="900"/>
        </w:tabs>
        <w:suppressAutoHyphens/>
        <w:spacing w:after="0"/>
        <w:ind w:left="900" w:right="-3"/>
        <w:jc w:val="left"/>
        <w:rPr>
          <w:lang w:eastAsia="ar-SA"/>
        </w:rPr>
      </w:pPr>
      <w:r w:rsidRPr="00957098">
        <w:rPr>
          <w:lang w:eastAsia="ar-SA"/>
        </w:rPr>
        <w:t>12 m magasságot nem haladja</w:t>
      </w:r>
    </w:p>
    <w:p w:rsidR="00957098" w:rsidRPr="00957098" w:rsidRDefault="00957098" w:rsidP="00957098">
      <w:pPr>
        <w:numPr>
          <w:ilvl w:val="0"/>
          <w:numId w:val="6"/>
        </w:numPr>
        <w:tabs>
          <w:tab w:val="num" w:pos="360"/>
        </w:tabs>
        <w:suppressAutoHyphens/>
        <w:spacing w:after="0"/>
        <w:ind w:left="360"/>
        <w:rPr>
          <w:szCs w:val="22"/>
          <w:lang w:eastAsia="ar-SA"/>
        </w:rPr>
      </w:pPr>
      <w:r w:rsidRPr="00957098">
        <w:rPr>
          <w:szCs w:val="22"/>
          <w:lang w:eastAsia="ar-SA"/>
        </w:rPr>
        <w:t xml:space="preserve">Kereskedelmi szálláshely: olyan létesítmény, amelyben a hasznosított szobák száma az ötöt, az ágyak száma a </w:t>
      </w:r>
      <w:proofErr w:type="spellStart"/>
      <w:r w:rsidRPr="00957098">
        <w:rPr>
          <w:szCs w:val="22"/>
          <w:lang w:eastAsia="ar-SA"/>
        </w:rPr>
        <w:t>tizet</w:t>
      </w:r>
      <w:proofErr w:type="spellEnd"/>
      <w:r w:rsidRPr="00957098">
        <w:rPr>
          <w:szCs w:val="22"/>
          <w:lang w:eastAsia="ar-SA"/>
        </w:rPr>
        <w:t>, kempingek esetében a hasznosított területegységek száma az ötöt meghaladja, valamint üzletszerűen, egész éven át vagy idényjelleggel, folyamatos napi üzemeltetéssel, megszakítás nélkül szállásszolgáltatást nyújt.</w:t>
      </w:r>
    </w:p>
    <w:p w:rsidR="00957098" w:rsidRPr="00957098" w:rsidRDefault="00957098" w:rsidP="00957098">
      <w:pPr>
        <w:numPr>
          <w:ilvl w:val="0"/>
          <w:numId w:val="6"/>
        </w:numPr>
        <w:tabs>
          <w:tab w:val="num" w:pos="360"/>
        </w:tabs>
        <w:suppressAutoHyphens/>
        <w:spacing w:after="0"/>
        <w:ind w:left="360"/>
        <w:rPr>
          <w:szCs w:val="22"/>
          <w:lang w:eastAsia="ar-SA"/>
        </w:rPr>
      </w:pPr>
      <w:r w:rsidRPr="00957098">
        <w:rPr>
          <w:szCs w:val="22"/>
          <w:lang w:eastAsia="ar-SA"/>
        </w:rPr>
        <w:t>Kerti építmény: hinta, csúszda, homokozó, szökőkút, díszkút, emlékmű, szobor, pergola pihenés és játék céljára szolgáló műtárgy, a terepszintnél 1 m-nél nem magasabbra emelkedő lefedés nélküli terasz.</w:t>
      </w:r>
    </w:p>
    <w:p w:rsidR="00957098" w:rsidRPr="00957098" w:rsidRDefault="00957098" w:rsidP="00957098">
      <w:pPr>
        <w:numPr>
          <w:ilvl w:val="0"/>
          <w:numId w:val="6"/>
        </w:numPr>
        <w:tabs>
          <w:tab w:val="num" w:pos="360"/>
        </w:tabs>
        <w:suppressAutoHyphens/>
        <w:spacing w:after="0"/>
        <w:ind w:left="360"/>
        <w:rPr>
          <w:szCs w:val="22"/>
          <w:lang w:eastAsia="ar-SA"/>
        </w:rPr>
      </w:pPr>
      <w:r w:rsidRPr="00957098">
        <w:rPr>
          <w:szCs w:val="22"/>
          <w:lang w:eastAsia="ar-SA"/>
        </w:rPr>
        <w:t>Kialakult telek: Azon tömbbe tartozó építési telkek vagy telkek összessége, amelyek felosztása már megtörtént</w:t>
      </w:r>
      <w:proofErr w:type="gramStart"/>
      <w:r w:rsidRPr="00957098">
        <w:rPr>
          <w:szCs w:val="22"/>
          <w:lang w:eastAsia="ar-SA"/>
        </w:rPr>
        <w:t>,  tovább</w:t>
      </w:r>
      <w:proofErr w:type="gramEnd"/>
      <w:r w:rsidRPr="00957098">
        <w:rPr>
          <w:szCs w:val="22"/>
          <w:lang w:eastAsia="ar-SA"/>
        </w:rPr>
        <w:t xml:space="preserve"> nem oszthatók, telekalakítás telekegyesítésen kívül nem végezhető. </w:t>
      </w:r>
      <w:proofErr w:type="spellStart"/>
      <w:r w:rsidRPr="00957098">
        <w:rPr>
          <w:szCs w:val="22"/>
          <w:lang w:eastAsia="ar-SA"/>
        </w:rPr>
        <w:t>Telekhatárkorrekció</w:t>
      </w:r>
      <w:proofErr w:type="spellEnd"/>
      <w:r w:rsidRPr="00957098">
        <w:rPr>
          <w:szCs w:val="22"/>
          <w:lang w:eastAsia="ar-SA"/>
        </w:rPr>
        <w:t xml:space="preserve"> esetén az érintett telkek területe maximum 10%-ban módosulhat.</w:t>
      </w:r>
    </w:p>
    <w:p w:rsidR="00957098" w:rsidRPr="00957098" w:rsidRDefault="00957098" w:rsidP="00957098">
      <w:pPr>
        <w:numPr>
          <w:ilvl w:val="0"/>
          <w:numId w:val="6"/>
        </w:numPr>
        <w:tabs>
          <w:tab w:val="num" w:pos="360"/>
        </w:tabs>
        <w:suppressAutoHyphens/>
        <w:spacing w:after="0"/>
        <w:ind w:left="360"/>
        <w:rPr>
          <w:szCs w:val="22"/>
          <w:lang w:eastAsia="ar-SA"/>
        </w:rPr>
      </w:pPr>
      <w:r w:rsidRPr="00957098">
        <w:rPr>
          <w:szCs w:val="22"/>
          <w:lang w:eastAsia="ar-SA"/>
        </w:rPr>
        <w:t xml:space="preserve">Látványterv: A látványterv tartalmazza a létesítmény környezetének – a tájak esztétikai minősítése című MSZ 20372:2004 szerinti - tájesztétikai vizsgálatát, a jelenlegi és a tervezett településképi és tájállapotot több nézőpontból rögzítő fotódokumentációt (fotómontázst, </w:t>
      </w:r>
      <w:proofErr w:type="spellStart"/>
      <w:r w:rsidRPr="00957098">
        <w:rPr>
          <w:szCs w:val="22"/>
          <w:lang w:eastAsia="ar-SA"/>
        </w:rPr>
        <w:t>makettfotót</w:t>
      </w:r>
      <w:proofErr w:type="spellEnd"/>
      <w:r w:rsidRPr="00957098">
        <w:rPr>
          <w:szCs w:val="22"/>
          <w:lang w:eastAsia="ar-SA"/>
        </w:rPr>
        <w:t>) a tervezett építmény által megváltoztatott tájkép, utcakép kiterjedéséből következő, azt kellően szemléltető méretarányban, égtájjelöléssel.</w:t>
      </w:r>
    </w:p>
    <w:p w:rsidR="00957098" w:rsidRPr="00957098" w:rsidRDefault="00957098" w:rsidP="00957098">
      <w:pPr>
        <w:numPr>
          <w:ilvl w:val="0"/>
          <w:numId w:val="6"/>
        </w:numPr>
        <w:tabs>
          <w:tab w:val="num" w:pos="360"/>
        </w:tabs>
        <w:suppressAutoHyphens/>
        <w:spacing w:after="0"/>
        <w:ind w:left="360"/>
        <w:rPr>
          <w:szCs w:val="22"/>
          <w:lang w:eastAsia="ar-SA"/>
        </w:rPr>
      </w:pPr>
      <w:r w:rsidRPr="00957098">
        <w:rPr>
          <w:szCs w:val="22"/>
          <w:lang w:eastAsia="ar-SA"/>
        </w:rPr>
        <w:t>Melléképület: fő rendeltetést kiszolgáló vagy kiegészítő funkciójú épület.</w:t>
      </w:r>
    </w:p>
    <w:p w:rsidR="00957098" w:rsidRPr="00957098" w:rsidRDefault="00957098" w:rsidP="00957098">
      <w:pPr>
        <w:numPr>
          <w:ilvl w:val="0"/>
          <w:numId w:val="6"/>
        </w:numPr>
        <w:tabs>
          <w:tab w:val="num" w:pos="360"/>
        </w:tabs>
        <w:suppressAutoHyphens/>
        <w:spacing w:after="0"/>
        <w:ind w:left="360"/>
        <w:rPr>
          <w:szCs w:val="22"/>
          <w:lang w:eastAsia="ar-SA"/>
        </w:rPr>
      </w:pPr>
      <w:r w:rsidRPr="00957098">
        <w:rPr>
          <w:szCs w:val="22"/>
          <w:lang w:eastAsia="ar-SA"/>
        </w:rPr>
        <w:t xml:space="preserve">Mezőgazdasági birtoktest: Egy mezőgazdasági birtokközponthoz tartozó, attól – a közigazgatási egységtől függetlenül – legfeljebb 20 km-es távolságon belüli, az ingatlan-nyilvántartásban önálló helyrajzi számon bejegyzett és azonos családi mezőgazdasági vállalkozás tagjainak tulajdonában álló termőföldterületek és a működéshez szükséges üzemi és lakó építmények elhelyezésére szolgáló kivett területek összessége. </w:t>
      </w:r>
    </w:p>
    <w:p w:rsidR="00957098" w:rsidRPr="00957098" w:rsidRDefault="00957098" w:rsidP="00957098">
      <w:pPr>
        <w:numPr>
          <w:ilvl w:val="0"/>
          <w:numId w:val="6"/>
        </w:numPr>
        <w:tabs>
          <w:tab w:val="num" w:pos="360"/>
        </w:tabs>
        <w:suppressAutoHyphens/>
        <w:spacing w:after="0"/>
        <w:ind w:left="360"/>
        <w:rPr>
          <w:szCs w:val="22"/>
          <w:lang w:eastAsia="ar-SA"/>
        </w:rPr>
      </w:pPr>
      <w:r w:rsidRPr="00957098">
        <w:rPr>
          <w:szCs w:val="22"/>
          <w:lang w:eastAsia="ar-SA"/>
        </w:rPr>
        <w:t>Nyúlványos (nyeles) telek: olyan telek, mely telekmegosztás során jön létre, úgy hogy a megosztást követően kialakul egy, a közterülettel továbbra is homlokvonalával kapcsolódó telek (visszamaradó telek) és egy „hátsó” telek (nyeles telek), mely a közterülethez mindössze egy, min. 3 m széles teleknyúlvánnyal kapcsolódik.</w:t>
      </w:r>
    </w:p>
    <w:p w:rsidR="00957098" w:rsidRPr="00957098" w:rsidRDefault="00957098" w:rsidP="00957098">
      <w:pPr>
        <w:numPr>
          <w:ilvl w:val="0"/>
          <w:numId w:val="6"/>
        </w:numPr>
        <w:tabs>
          <w:tab w:val="num" w:pos="360"/>
        </w:tabs>
        <w:suppressAutoHyphens/>
        <w:spacing w:after="0"/>
        <w:ind w:left="360"/>
        <w:rPr>
          <w:szCs w:val="22"/>
          <w:lang w:eastAsia="ar-SA"/>
        </w:rPr>
      </w:pPr>
      <w:r w:rsidRPr="00957098">
        <w:rPr>
          <w:szCs w:val="22"/>
          <w:lang w:eastAsia="ar-SA"/>
        </w:rPr>
        <w:lastRenderedPageBreak/>
        <w:t>Szőlő termőhelyi katasztere: a termőhelyek egységes nyilvántartási rendszere, a szőlőtermesztésre való alkalmasság szempontjából ökológiailag minősített, osztályozott és lehatárolt határrészek nyilvántartása földmérési alaptérképen.</w:t>
      </w:r>
    </w:p>
    <w:p w:rsidR="00957098" w:rsidRPr="00957098" w:rsidRDefault="00957098" w:rsidP="00957098">
      <w:pPr>
        <w:numPr>
          <w:ilvl w:val="0"/>
          <w:numId w:val="6"/>
        </w:numPr>
        <w:tabs>
          <w:tab w:val="num" w:pos="360"/>
        </w:tabs>
        <w:suppressAutoHyphens/>
        <w:spacing w:after="0"/>
        <w:ind w:left="360"/>
        <w:rPr>
          <w:szCs w:val="22"/>
          <w:lang w:eastAsia="ar-SA"/>
        </w:rPr>
      </w:pPr>
      <w:r w:rsidRPr="00957098">
        <w:rPr>
          <w:szCs w:val="22"/>
          <w:lang w:eastAsia="ar-SA"/>
        </w:rPr>
        <w:t>Tanya: a település külterületén lévő mezőgazdasági termelés (növénytermesztés és állattenyésztés, továbbá az ezekkel kapcsolatos termékfeldolgozás és terméktárolás) céljára létesített lakó- és gazdasági épület, épületcsoport és az azonos helyrajzi szám alatt hozzá tartozó föld együttese.</w:t>
      </w:r>
    </w:p>
    <w:p w:rsidR="00957098" w:rsidRPr="00957098" w:rsidRDefault="00957098" w:rsidP="00957098">
      <w:pPr>
        <w:numPr>
          <w:ilvl w:val="0"/>
          <w:numId w:val="6"/>
        </w:numPr>
        <w:tabs>
          <w:tab w:val="num" w:pos="360"/>
        </w:tabs>
        <w:suppressAutoHyphens/>
        <w:spacing w:after="0"/>
        <w:ind w:left="360"/>
        <w:rPr>
          <w:szCs w:val="22"/>
          <w:lang w:eastAsia="ar-SA"/>
        </w:rPr>
      </w:pPr>
      <w:r w:rsidRPr="00957098">
        <w:rPr>
          <w:szCs w:val="22"/>
          <w:lang w:eastAsia="ar-SA"/>
        </w:rPr>
        <w:t>Tanyatelek: A település területén lévő mezőgazdasági termelés (növénytermesztés és állattartás, továbbá az ezekkel kapcsolatos terményfeldolgozás és tárolás) céljára létesített lakó és gazdasági épület, épületcsoport és az azonos helyrajzi számú földterület együttese.</w:t>
      </w:r>
    </w:p>
    <w:p w:rsidR="00957098" w:rsidRPr="00957098" w:rsidRDefault="00957098" w:rsidP="00957098">
      <w:pPr>
        <w:numPr>
          <w:ilvl w:val="0"/>
          <w:numId w:val="6"/>
        </w:numPr>
        <w:tabs>
          <w:tab w:val="num" w:pos="360"/>
        </w:tabs>
        <w:suppressAutoHyphens/>
        <w:spacing w:after="0"/>
        <w:ind w:left="360"/>
        <w:rPr>
          <w:szCs w:val="22"/>
          <w:lang w:eastAsia="ar-SA"/>
        </w:rPr>
      </w:pPr>
      <w:r w:rsidRPr="00957098">
        <w:rPr>
          <w:szCs w:val="22"/>
          <w:lang w:eastAsia="ar-SA"/>
        </w:rPr>
        <w:t xml:space="preserve">Tájvédelmi Körzet: az ország jellegzetes természeti, tájképi adottságokban gazdag nagyobb, általában összefüggő területe, tájrészlete, ahol az ember és természet kölcsönhatása esztétikai, kulturális és természeti szempontból jól megkülönböztethető jelleget alakított ki, és </w:t>
      </w:r>
      <w:proofErr w:type="spellStart"/>
      <w:r w:rsidRPr="00957098">
        <w:rPr>
          <w:szCs w:val="22"/>
          <w:lang w:eastAsia="ar-SA"/>
        </w:rPr>
        <w:t>elsődéeges</w:t>
      </w:r>
      <w:proofErr w:type="spellEnd"/>
      <w:r w:rsidRPr="00957098">
        <w:rPr>
          <w:szCs w:val="22"/>
          <w:lang w:eastAsia="ar-SA"/>
        </w:rPr>
        <w:t xml:space="preserve"> rendeltetése a tájképi és a természeti értékek megőrzése.</w:t>
      </w:r>
    </w:p>
    <w:p w:rsidR="00957098" w:rsidRPr="00957098" w:rsidRDefault="00957098" w:rsidP="00957098">
      <w:pPr>
        <w:numPr>
          <w:ilvl w:val="0"/>
          <w:numId w:val="6"/>
        </w:numPr>
        <w:tabs>
          <w:tab w:val="num" w:pos="360"/>
        </w:tabs>
        <w:suppressAutoHyphens/>
        <w:spacing w:after="0"/>
        <w:ind w:left="360"/>
        <w:rPr>
          <w:szCs w:val="22"/>
          <w:lang w:eastAsia="ar-SA"/>
        </w:rPr>
      </w:pPr>
      <w:r w:rsidRPr="00957098">
        <w:rPr>
          <w:szCs w:val="22"/>
          <w:lang w:eastAsia="ar-SA"/>
        </w:rPr>
        <w:t>Telektömb: A telkek olyan csoportja, amelyet minden oldalról közterület vagy részben más beépítésre nem szánt terület határolt. A tömb határait jelentheti tehát a közterületi határ (meglévő szabályozási vonal), a belterülethatár, az igazgatási határ, valamint beépítésre nem szánt terület határa is.</w:t>
      </w:r>
    </w:p>
    <w:p w:rsidR="00957098" w:rsidRPr="00957098" w:rsidRDefault="00957098" w:rsidP="00957098">
      <w:pPr>
        <w:numPr>
          <w:ilvl w:val="0"/>
          <w:numId w:val="6"/>
        </w:numPr>
        <w:tabs>
          <w:tab w:val="num" w:pos="360"/>
        </w:tabs>
        <w:suppressAutoHyphens/>
        <w:spacing w:after="0"/>
        <w:ind w:left="360"/>
        <w:rPr>
          <w:szCs w:val="22"/>
          <w:lang w:eastAsia="ar-SA"/>
        </w:rPr>
      </w:pPr>
      <w:r w:rsidRPr="00957098">
        <w:rPr>
          <w:szCs w:val="22"/>
          <w:lang w:eastAsia="ar-SA"/>
        </w:rPr>
        <w:t xml:space="preserve">Tömör kerítés: Olyan kerítés, melynek a kerítés síkjára merőleges átláthatósága 50%-nál nagyobb mértékben korlátozott. </w:t>
      </w:r>
    </w:p>
    <w:p w:rsidR="00957098" w:rsidRPr="00957098" w:rsidRDefault="00957098" w:rsidP="00957098"/>
    <w:p w:rsidR="003D73B9" w:rsidRPr="008B4E73" w:rsidRDefault="003D73B9" w:rsidP="008B4E73">
      <w:bookmarkStart w:id="2" w:name="_GoBack"/>
      <w:bookmarkEnd w:id="2"/>
    </w:p>
    <w:sectPr w:rsidR="003D73B9" w:rsidRPr="008B4E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E"/>
    <w:multiLevelType w:val="multilevel"/>
    <w:tmpl w:val="0000000E"/>
    <w:lvl w:ilvl="0">
      <w:start w:val="1"/>
      <w:numFmt w:val="lowerLetter"/>
      <w:pStyle w:val="felsorols"/>
      <w:lvlText w:val="%1)"/>
      <w:lvlJc w:val="left"/>
      <w:pPr>
        <w:tabs>
          <w:tab w:val="num" w:pos="1495"/>
        </w:tabs>
        <w:ind w:left="1495" w:hanging="360"/>
      </w:pPr>
    </w:lvl>
    <w:lvl w:ilvl="1">
      <w:start w:val="1"/>
      <w:numFmt w:val="lowerLetter"/>
      <w:lvlText w:val="%2)"/>
      <w:lvlJc w:val="left"/>
      <w:pPr>
        <w:tabs>
          <w:tab w:val="num" w:pos="2007"/>
        </w:tabs>
        <w:ind w:left="2007" w:hanging="360"/>
      </w:p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/>
      </w:rPr>
    </w:lvl>
  </w:abstractNum>
  <w:abstractNum w:abstractNumId="1">
    <w:nsid w:val="22B3706B"/>
    <w:multiLevelType w:val="multilevel"/>
    <w:tmpl w:val="31366F4C"/>
    <w:name w:val="WW8Num6222"/>
    <w:lvl w:ilvl="0">
      <w:start w:val="12"/>
      <w:numFmt w:val="lowerLetter"/>
      <w:lvlText w:val="%1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007"/>
        </w:tabs>
        <w:ind w:left="2007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2D427F25"/>
    <w:multiLevelType w:val="hybridMultilevel"/>
    <w:tmpl w:val="F822DC32"/>
    <w:lvl w:ilvl="0" w:tplc="970AF2F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CC1530"/>
    <w:multiLevelType w:val="hybridMultilevel"/>
    <w:tmpl w:val="25047F58"/>
    <w:lvl w:ilvl="0" w:tplc="3B5A605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9C773B1"/>
    <w:multiLevelType w:val="hybridMultilevel"/>
    <w:tmpl w:val="521A41D8"/>
    <w:lvl w:ilvl="0" w:tplc="FFFFFFFF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127C86"/>
    <w:multiLevelType w:val="hybridMultilevel"/>
    <w:tmpl w:val="B010EBA0"/>
    <w:lvl w:ilvl="0" w:tplc="040E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452"/>
    <w:rsid w:val="000F79B8"/>
    <w:rsid w:val="001E5452"/>
    <w:rsid w:val="002336FA"/>
    <w:rsid w:val="003D73B9"/>
    <w:rsid w:val="0042608E"/>
    <w:rsid w:val="0055354B"/>
    <w:rsid w:val="005C05DD"/>
    <w:rsid w:val="00821D83"/>
    <w:rsid w:val="008B4E73"/>
    <w:rsid w:val="00957098"/>
    <w:rsid w:val="00D51D47"/>
    <w:rsid w:val="00D86421"/>
    <w:rsid w:val="00DC7993"/>
    <w:rsid w:val="00EA3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5354B"/>
    <w:pPr>
      <w:spacing w:after="120" w:line="240" w:lineRule="auto"/>
      <w:jc w:val="both"/>
    </w:pPr>
    <w:rPr>
      <w:rFonts w:ascii="Trebuchet MS" w:eastAsia="Times New Roman" w:hAnsi="Trebuchet MS" w:cs="Times New Roman"/>
      <w:sz w:val="20"/>
      <w:szCs w:val="20"/>
      <w:lang w:eastAsia="hu-HU"/>
    </w:rPr>
  </w:style>
  <w:style w:type="paragraph" w:styleId="Cmsor3">
    <w:name w:val="heading 3"/>
    <w:aliases w:val="Címsor3"/>
    <w:basedOn w:val="Norml"/>
    <w:next w:val="Norml"/>
    <w:link w:val="Cmsor3Char"/>
    <w:qFormat/>
    <w:rsid w:val="0055354B"/>
    <w:pPr>
      <w:keepNext/>
      <w:numPr>
        <w:ilvl w:val="12"/>
      </w:numPr>
      <w:outlineLvl w:val="2"/>
    </w:pPr>
    <w:rPr>
      <w:rFonts w:cs="Trebuchet MS"/>
      <w:b/>
      <w:bCs/>
      <w:caps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aliases w:val="Címsor3 Char"/>
    <w:basedOn w:val="Bekezdsalapbettpusa"/>
    <w:link w:val="Cmsor3"/>
    <w:rsid w:val="0055354B"/>
    <w:rPr>
      <w:rFonts w:ascii="Trebuchet MS" w:eastAsia="Times New Roman" w:hAnsi="Trebuchet MS" w:cs="Trebuchet MS"/>
      <w:b/>
      <w:bCs/>
      <w:caps/>
      <w:sz w:val="20"/>
      <w:szCs w:val="20"/>
      <w:lang w:eastAsia="hu-HU"/>
    </w:rPr>
  </w:style>
  <w:style w:type="paragraph" w:customStyle="1" w:styleId="felsorols">
    <w:name w:val="felsorolás"/>
    <w:basedOn w:val="Norml"/>
    <w:link w:val="felsorolsChar1"/>
    <w:rsid w:val="0055354B"/>
    <w:pPr>
      <w:numPr>
        <w:numId w:val="1"/>
      </w:numPr>
      <w:suppressAutoHyphens/>
      <w:spacing w:after="0"/>
    </w:pPr>
    <w:rPr>
      <w:szCs w:val="22"/>
      <w:lang w:eastAsia="ar-SA"/>
    </w:rPr>
  </w:style>
  <w:style w:type="character" w:customStyle="1" w:styleId="felsorolsChar1">
    <w:name w:val="felsorolás Char1"/>
    <w:basedOn w:val="Bekezdsalapbettpusa"/>
    <w:link w:val="felsorols"/>
    <w:rsid w:val="0055354B"/>
    <w:rPr>
      <w:rFonts w:ascii="Trebuchet MS" w:eastAsia="Times New Roman" w:hAnsi="Trebuchet MS" w:cs="Times New Roman"/>
      <w:sz w:val="20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F79B8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F79B8"/>
    <w:rPr>
      <w:rFonts w:ascii="Tahoma" w:eastAsia="Times New Roman" w:hAnsi="Tahoma" w:cs="Tahoma"/>
      <w:sz w:val="16"/>
      <w:szCs w:val="16"/>
      <w:lang w:eastAsia="hu-HU"/>
    </w:rPr>
  </w:style>
  <w:style w:type="character" w:styleId="Hiperhivatkozs">
    <w:name w:val="Hyperlink"/>
    <w:basedOn w:val="Bekezdsalapbettpusa"/>
    <w:uiPriority w:val="99"/>
    <w:unhideWhenUsed/>
    <w:rsid w:val="00D51D4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5354B"/>
    <w:pPr>
      <w:spacing w:after="120" w:line="240" w:lineRule="auto"/>
      <w:jc w:val="both"/>
    </w:pPr>
    <w:rPr>
      <w:rFonts w:ascii="Trebuchet MS" w:eastAsia="Times New Roman" w:hAnsi="Trebuchet MS" w:cs="Times New Roman"/>
      <w:sz w:val="20"/>
      <w:szCs w:val="20"/>
      <w:lang w:eastAsia="hu-HU"/>
    </w:rPr>
  </w:style>
  <w:style w:type="paragraph" w:styleId="Cmsor3">
    <w:name w:val="heading 3"/>
    <w:aliases w:val="Címsor3"/>
    <w:basedOn w:val="Norml"/>
    <w:next w:val="Norml"/>
    <w:link w:val="Cmsor3Char"/>
    <w:qFormat/>
    <w:rsid w:val="0055354B"/>
    <w:pPr>
      <w:keepNext/>
      <w:numPr>
        <w:ilvl w:val="12"/>
      </w:numPr>
      <w:outlineLvl w:val="2"/>
    </w:pPr>
    <w:rPr>
      <w:rFonts w:cs="Trebuchet MS"/>
      <w:b/>
      <w:bCs/>
      <w:caps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aliases w:val="Címsor3 Char"/>
    <w:basedOn w:val="Bekezdsalapbettpusa"/>
    <w:link w:val="Cmsor3"/>
    <w:rsid w:val="0055354B"/>
    <w:rPr>
      <w:rFonts w:ascii="Trebuchet MS" w:eastAsia="Times New Roman" w:hAnsi="Trebuchet MS" w:cs="Trebuchet MS"/>
      <w:b/>
      <w:bCs/>
      <w:caps/>
      <w:sz w:val="20"/>
      <w:szCs w:val="20"/>
      <w:lang w:eastAsia="hu-HU"/>
    </w:rPr>
  </w:style>
  <w:style w:type="paragraph" w:customStyle="1" w:styleId="felsorols">
    <w:name w:val="felsorolás"/>
    <w:basedOn w:val="Norml"/>
    <w:link w:val="felsorolsChar1"/>
    <w:rsid w:val="0055354B"/>
    <w:pPr>
      <w:numPr>
        <w:numId w:val="1"/>
      </w:numPr>
      <w:suppressAutoHyphens/>
      <w:spacing w:after="0"/>
    </w:pPr>
    <w:rPr>
      <w:szCs w:val="22"/>
      <w:lang w:eastAsia="ar-SA"/>
    </w:rPr>
  </w:style>
  <w:style w:type="character" w:customStyle="1" w:styleId="felsorolsChar1">
    <w:name w:val="felsorolás Char1"/>
    <w:basedOn w:val="Bekezdsalapbettpusa"/>
    <w:link w:val="felsorols"/>
    <w:rsid w:val="0055354B"/>
    <w:rPr>
      <w:rFonts w:ascii="Trebuchet MS" w:eastAsia="Times New Roman" w:hAnsi="Trebuchet MS" w:cs="Times New Roman"/>
      <w:sz w:val="20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F79B8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F79B8"/>
    <w:rPr>
      <w:rFonts w:ascii="Tahoma" w:eastAsia="Times New Roman" w:hAnsi="Tahoma" w:cs="Tahoma"/>
      <w:sz w:val="16"/>
      <w:szCs w:val="16"/>
      <w:lang w:eastAsia="hu-HU"/>
    </w:rPr>
  </w:style>
  <w:style w:type="character" w:styleId="Hiperhivatkozs">
    <w:name w:val="Hyperlink"/>
    <w:basedOn w:val="Bekezdsalapbettpusa"/>
    <w:uiPriority w:val="99"/>
    <w:unhideWhenUsed/>
    <w:rsid w:val="00D51D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726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OEM-User</dc:creator>
  <cp:lastModifiedBy>OEM-User</cp:lastModifiedBy>
  <cp:revision>2</cp:revision>
  <dcterms:created xsi:type="dcterms:W3CDTF">2018-05-17T10:06:00Z</dcterms:created>
  <dcterms:modified xsi:type="dcterms:W3CDTF">2018-05-17T10:06:00Z</dcterms:modified>
</cp:coreProperties>
</file>