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F7C" w:rsidRPr="004D07BF" w:rsidRDefault="00353F7C" w:rsidP="00353F7C">
      <w:pPr>
        <w:pStyle w:val="Listaszerbekezds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sz. </w:t>
      </w:r>
      <w:r w:rsidRPr="004D07BF">
        <w:rPr>
          <w:rFonts w:ascii="Times New Roman" w:hAnsi="Times New Roman" w:cs="Times New Roman"/>
          <w:sz w:val="24"/>
          <w:szCs w:val="24"/>
        </w:rPr>
        <w:t xml:space="preserve">melléklet a </w:t>
      </w:r>
      <w:r>
        <w:rPr>
          <w:rFonts w:ascii="Times New Roman" w:hAnsi="Times New Roman" w:cs="Times New Roman"/>
          <w:sz w:val="24"/>
          <w:szCs w:val="24"/>
        </w:rPr>
        <w:t xml:space="preserve">19/2017. (XII.28.) </w:t>
      </w:r>
      <w:r w:rsidRPr="004D07BF">
        <w:rPr>
          <w:rFonts w:ascii="Times New Roman" w:hAnsi="Times New Roman" w:cs="Times New Roman"/>
          <w:sz w:val="24"/>
          <w:szCs w:val="24"/>
        </w:rPr>
        <w:t>településképi önkormányzati rendelet</w:t>
      </w:r>
      <w:r>
        <w:rPr>
          <w:rFonts w:ascii="Times New Roman" w:hAnsi="Times New Roman" w:cs="Times New Roman"/>
          <w:sz w:val="24"/>
          <w:szCs w:val="24"/>
        </w:rPr>
        <w:t>hez</w:t>
      </w:r>
    </w:p>
    <w:p w:rsidR="00353F7C" w:rsidRPr="004D07BF" w:rsidRDefault="00353F7C" w:rsidP="00353F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3F7C" w:rsidRPr="00311F1D" w:rsidRDefault="00353F7C" w:rsidP="00353F7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1F1D">
        <w:rPr>
          <w:rFonts w:ascii="Times New Roman" w:hAnsi="Times New Roman" w:cs="Times New Roman"/>
          <w:b/>
          <w:sz w:val="32"/>
          <w:szCs w:val="32"/>
        </w:rPr>
        <w:t>A településképi szempontból meghatározó területek jegyzéke</w:t>
      </w:r>
    </w:p>
    <w:p w:rsidR="00353F7C" w:rsidRPr="004D07BF" w:rsidRDefault="00353F7C" w:rsidP="00353F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3F7C" w:rsidRPr="004D07BF" w:rsidRDefault="00353F7C" w:rsidP="00353F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7BF">
        <w:rPr>
          <w:rFonts w:ascii="Times New Roman" w:hAnsi="Times New Roman" w:cs="Times New Roman"/>
          <w:b/>
          <w:sz w:val="24"/>
          <w:szCs w:val="24"/>
        </w:rPr>
        <w:t>1. fejezet</w:t>
      </w:r>
    </w:p>
    <w:p w:rsidR="00353F7C" w:rsidRPr="004D07BF" w:rsidRDefault="00353F7C" w:rsidP="00353F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7BF">
        <w:rPr>
          <w:rFonts w:ascii="Times New Roman" w:hAnsi="Times New Roman" w:cs="Times New Roman"/>
          <w:b/>
          <w:sz w:val="24"/>
          <w:szCs w:val="24"/>
        </w:rPr>
        <w:t>A településképi szempontból meghatározó területek elnevezése és lehatárolása</w:t>
      </w:r>
    </w:p>
    <w:p w:rsidR="00353F7C" w:rsidRPr="00611771" w:rsidRDefault="00353F7C" w:rsidP="00353F7C">
      <w:pPr>
        <w:pStyle w:val="Listaszerbekezds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1771">
        <w:rPr>
          <w:rFonts w:ascii="Times New Roman" w:hAnsi="Times New Roman" w:cs="Times New Roman"/>
          <w:sz w:val="24"/>
          <w:szCs w:val="24"/>
        </w:rPr>
        <w:t xml:space="preserve">a) Hagyományos beépítésű falusias területek </w:t>
      </w:r>
      <w:r>
        <w:rPr>
          <w:rFonts w:ascii="Times New Roman" w:hAnsi="Times New Roman" w:cs="Times New Roman"/>
          <w:sz w:val="24"/>
          <w:szCs w:val="24"/>
        </w:rPr>
        <w:t>(Fő út, Kossuth út, Deák F. út)</w:t>
      </w:r>
    </w:p>
    <w:p w:rsidR="00353F7C" w:rsidRPr="00611771" w:rsidRDefault="00353F7C" w:rsidP="00353F7C">
      <w:pPr>
        <w:pStyle w:val="Listaszerbekezds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1771">
        <w:rPr>
          <w:rFonts w:ascii="Times New Roman" w:hAnsi="Times New Roman" w:cs="Times New Roman"/>
          <w:sz w:val="24"/>
          <w:szCs w:val="24"/>
        </w:rPr>
        <w:t xml:space="preserve">b) Változó megjelenésű falusias területek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Petőfi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Táncsics, Dózsa út)</w:t>
      </w:r>
    </w:p>
    <w:p w:rsidR="00353F7C" w:rsidRPr="00611771" w:rsidRDefault="00353F7C" w:rsidP="00353F7C">
      <w:pPr>
        <w:pStyle w:val="Listaszerbekezds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1771">
        <w:rPr>
          <w:rFonts w:ascii="Times New Roman" w:hAnsi="Times New Roman" w:cs="Times New Roman"/>
          <w:sz w:val="24"/>
          <w:szCs w:val="24"/>
        </w:rPr>
        <w:t>c) Beépítésre nem szánt területek</w:t>
      </w:r>
    </w:p>
    <w:p w:rsidR="00353F7C" w:rsidRDefault="00353F7C" w:rsidP="00353F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F7C" w:rsidRPr="004D07BF" w:rsidRDefault="00353F7C" w:rsidP="00353F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7BF">
        <w:rPr>
          <w:rFonts w:ascii="Times New Roman" w:hAnsi="Times New Roman" w:cs="Times New Roman"/>
          <w:b/>
          <w:sz w:val="24"/>
          <w:szCs w:val="24"/>
        </w:rPr>
        <w:t>2. fejezet</w:t>
      </w:r>
    </w:p>
    <w:p w:rsidR="00353F7C" w:rsidRPr="004D07BF" w:rsidRDefault="00353F7C" w:rsidP="00353F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7BF">
        <w:rPr>
          <w:rFonts w:ascii="Times New Roman" w:hAnsi="Times New Roman" w:cs="Times New Roman"/>
          <w:b/>
          <w:sz w:val="24"/>
          <w:szCs w:val="24"/>
        </w:rPr>
        <w:t>A településképi szempontból meghatározó területek lehatárolásának térképi bemutatása</w:t>
      </w:r>
    </w:p>
    <w:p w:rsidR="00353F7C" w:rsidRDefault="00353F7C" w:rsidP="00353F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F7C" w:rsidRDefault="00353F7C" w:rsidP="00353F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B279639" wp14:editId="08BAC2C8">
            <wp:simplePos x="0" y="0"/>
            <wp:positionH relativeFrom="column">
              <wp:posOffset>-129973</wp:posOffset>
            </wp:positionH>
            <wp:positionV relativeFrom="paragraph">
              <wp:posOffset>41476</wp:posOffset>
            </wp:positionV>
            <wp:extent cx="4264192" cy="5030462"/>
            <wp:effectExtent l="19050" t="0" r="3008" b="0"/>
            <wp:wrapNone/>
            <wp:docPr id="1" name="Kép 9" descr="terk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rkep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6155" cy="5032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0295" w:rsidRPr="00353F7C" w:rsidRDefault="00353F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CF1D5D" wp14:editId="47A66728">
                <wp:simplePos x="0" y="0"/>
                <wp:positionH relativeFrom="column">
                  <wp:posOffset>4347845</wp:posOffset>
                </wp:positionH>
                <wp:positionV relativeFrom="paragraph">
                  <wp:posOffset>4963795</wp:posOffset>
                </wp:positionV>
                <wp:extent cx="346710" cy="90805"/>
                <wp:effectExtent l="27940" t="26670" r="34925" b="44450"/>
                <wp:wrapNone/>
                <wp:docPr id="4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710" cy="90805"/>
                        </a:xfrm>
                        <a:prstGeom prst="rect">
                          <a:avLst/>
                        </a:prstGeom>
                        <a:solidFill>
                          <a:srgbClr val="84C2A4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986D25" id="Rectangle 102" o:spid="_x0000_s1026" style="position:absolute;margin-left:342.35pt;margin-top:390.85pt;width:27.3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" fillcolor="#84c2a4" strokecolor="#f2f2f2 [3041]" strokeweight="3pt">
                <v:shadow on="t" color="#1f4d78 [1608]" opacity=".5" offset="1pt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D0326F" wp14:editId="2F2BC26A">
                <wp:simplePos x="0" y="0"/>
                <wp:positionH relativeFrom="column">
                  <wp:posOffset>4347845</wp:posOffset>
                </wp:positionH>
                <wp:positionV relativeFrom="paragraph">
                  <wp:posOffset>5607685</wp:posOffset>
                </wp:positionV>
                <wp:extent cx="346710" cy="90805"/>
                <wp:effectExtent l="18415" t="22860" r="25400" b="19685"/>
                <wp:wrapNone/>
                <wp:docPr id="3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710" cy="9080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1B467B" id="Rectangle 101" o:spid="_x0000_s1026" style="position:absolute;margin-left:342.35pt;margin-top:441.55pt;width:27.3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" fillcolor="white [3201]" strokecolor="#8496b0 [1951]" strokeweight="2.5pt">
                <v:shadow color="#868686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CE1A2D" wp14:editId="49CEF6A1">
                <wp:simplePos x="0" y="0"/>
                <wp:positionH relativeFrom="column">
                  <wp:posOffset>4347845</wp:posOffset>
                </wp:positionH>
                <wp:positionV relativeFrom="paragraph">
                  <wp:posOffset>5256530</wp:posOffset>
                </wp:positionV>
                <wp:extent cx="346710" cy="90805"/>
                <wp:effectExtent l="27940" t="24130" r="34925" b="46990"/>
                <wp:wrapNone/>
                <wp:docPr id="2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710" cy="908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F9C0B" id="Rectangle 100" o:spid="_x0000_s1026" style="position:absolute;margin-left:342.35pt;margin-top:413.9pt;width:27.3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" fillcolor="#70ad47 [3209]" strokecolor="#f2f2f2 [3041]" strokeweight="3pt">
                <v:shadow on="t" color="#823b0b [1605]" opacity=".5" offset="1pt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3D866DE" wp14:editId="3FEF0719">
                <wp:simplePos x="0" y="0"/>
                <wp:positionH relativeFrom="margin">
                  <wp:posOffset>783590</wp:posOffset>
                </wp:positionH>
                <wp:positionV relativeFrom="margin">
                  <wp:posOffset>8533130</wp:posOffset>
                </wp:positionV>
                <wp:extent cx="3343910" cy="800100"/>
                <wp:effectExtent l="0" t="0" r="0" b="0"/>
                <wp:wrapNone/>
                <wp:docPr id="558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3F7C" w:rsidRDefault="00353F7C" w:rsidP="00353F7C">
                            <w:pPr>
                              <w:tabs>
                                <w:tab w:val="left" w:pos="142"/>
                              </w:tabs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contextualSpacing/>
                              <w:jc w:val="right"/>
                              <w:rPr>
                                <w:rFonts w:ascii="Titillium Lt" w:hAnsi="Titillium Lt" w:cs="Titillium-LightItalic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Lt" w:hAnsi="Titillium Lt" w:cs="Titillium-LightItalic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Hagyományos beépítésű falusias területek</w:t>
                            </w:r>
                          </w:p>
                          <w:p w:rsidR="00353F7C" w:rsidRPr="00CD0A1F" w:rsidRDefault="00353F7C" w:rsidP="00353F7C">
                            <w:pPr>
                              <w:tabs>
                                <w:tab w:val="left" w:pos="142"/>
                              </w:tabs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contextualSpacing/>
                              <w:jc w:val="right"/>
                              <w:rPr>
                                <w:rFonts w:ascii="Titillium Lt" w:hAnsi="Titillium Lt" w:cs="Titillium-LightItalic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353F7C" w:rsidRPr="008275C8" w:rsidRDefault="00353F7C" w:rsidP="00353F7C">
                            <w:pPr>
                              <w:tabs>
                                <w:tab w:val="left" w:pos="142"/>
                              </w:tabs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contextualSpacing/>
                              <w:jc w:val="right"/>
                              <w:rPr>
                                <w:rFonts w:ascii="Titillium Lt" w:hAnsi="Titillium Lt" w:cs="Titillium-LightItalic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8275C8">
                              <w:rPr>
                                <w:rFonts w:ascii="Titillium Lt" w:hAnsi="Titillium Lt" w:cs="Titillium-LightItalic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 xml:space="preserve">Változó megjelenésű </w:t>
                            </w:r>
                            <w:r>
                              <w:rPr>
                                <w:rFonts w:ascii="Titillium Lt" w:hAnsi="Titillium Lt" w:cs="Titillium-LightItalic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 xml:space="preserve">falusias </w:t>
                            </w:r>
                            <w:r w:rsidRPr="008275C8">
                              <w:rPr>
                                <w:rFonts w:ascii="Titillium Lt" w:hAnsi="Titillium Lt" w:cs="Titillium-LightItalic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területek</w:t>
                            </w:r>
                          </w:p>
                          <w:p w:rsidR="00353F7C" w:rsidRPr="008275C8" w:rsidRDefault="00353F7C" w:rsidP="00353F7C">
                            <w:pPr>
                              <w:tabs>
                                <w:tab w:val="left" w:pos="142"/>
                              </w:tabs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contextualSpacing/>
                              <w:jc w:val="right"/>
                              <w:rPr>
                                <w:rFonts w:ascii="Titillium Lt" w:hAnsi="Titillium Lt" w:cs="Titillium-LightItalic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353F7C" w:rsidRPr="008275C8" w:rsidRDefault="00353F7C" w:rsidP="00353F7C">
                            <w:pPr>
                              <w:tabs>
                                <w:tab w:val="left" w:pos="142"/>
                              </w:tabs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contextualSpacing/>
                              <w:jc w:val="right"/>
                              <w:rPr>
                                <w:rFonts w:ascii="Titillium Lt" w:hAnsi="Titillium Lt" w:cs="Titillium-LightItalic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8275C8">
                              <w:rPr>
                                <w:rFonts w:ascii="Titillium Lt" w:hAnsi="Titillium Lt" w:cs="Titillium-LightItalic"/>
                                <w:i/>
                                <w:iCs/>
                                <w:sz w:val="18"/>
                                <w:szCs w:val="18"/>
                              </w:rPr>
                              <w:t>Beépítésre nem szánt területek</w:t>
                            </w:r>
                          </w:p>
                          <w:p w:rsidR="00353F7C" w:rsidRDefault="00353F7C" w:rsidP="00353F7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866DE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61.7pt;margin-top:671.9pt;width:263.3pt;height:6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" stroked="f">
                <v:textbox inset="0,0,0,0">
                  <w:txbxContent>
                    <w:p w:rsidR="00353F7C" w:rsidRDefault="00353F7C" w:rsidP="00353F7C">
                      <w:pPr>
                        <w:tabs>
                          <w:tab w:val="left" w:pos="142"/>
                        </w:tabs>
                        <w:autoSpaceDE w:val="0"/>
                        <w:autoSpaceDN w:val="0"/>
                        <w:adjustRightInd w:val="0"/>
                        <w:spacing w:after="120" w:line="240" w:lineRule="auto"/>
                        <w:contextualSpacing/>
                        <w:jc w:val="right"/>
                        <w:rPr>
                          <w:rFonts w:ascii="Titillium Lt" w:hAnsi="Titillium Lt" w:cs="Titillium-LightItalic"/>
                          <w:i/>
                          <w:iCs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Titillium Lt" w:hAnsi="Titillium Lt" w:cs="Titillium-LightItalic"/>
                          <w:i/>
                          <w:iCs/>
                          <w:color w:val="000000"/>
                          <w:sz w:val="18"/>
                          <w:szCs w:val="18"/>
                        </w:rPr>
                        <w:t>Hagyományos beépítésű falusias területek</w:t>
                      </w:r>
                    </w:p>
                    <w:p w:rsidR="00353F7C" w:rsidRPr="00CD0A1F" w:rsidRDefault="00353F7C" w:rsidP="00353F7C">
                      <w:pPr>
                        <w:tabs>
                          <w:tab w:val="left" w:pos="142"/>
                        </w:tabs>
                        <w:autoSpaceDE w:val="0"/>
                        <w:autoSpaceDN w:val="0"/>
                        <w:adjustRightInd w:val="0"/>
                        <w:spacing w:after="120" w:line="240" w:lineRule="auto"/>
                        <w:contextualSpacing/>
                        <w:jc w:val="right"/>
                        <w:rPr>
                          <w:rFonts w:ascii="Titillium Lt" w:hAnsi="Titillium Lt" w:cs="Titillium-LightItalic"/>
                          <w:i/>
                          <w:iCs/>
                          <w:color w:val="000000"/>
                          <w:sz w:val="18"/>
                          <w:szCs w:val="18"/>
                        </w:rPr>
                      </w:pPr>
                    </w:p>
                    <w:p w:rsidR="00353F7C" w:rsidRPr="008275C8" w:rsidRDefault="00353F7C" w:rsidP="00353F7C">
                      <w:pPr>
                        <w:tabs>
                          <w:tab w:val="left" w:pos="142"/>
                        </w:tabs>
                        <w:autoSpaceDE w:val="0"/>
                        <w:autoSpaceDN w:val="0"/>
                        <w:adjustRightInd w:val="0"/>
                        <w:spacing w:after="120" w:line="240" w:lineRule="auto"/>
                        <w:contextualSpacing/>
                        <w:jc w:val="right"/>
                        <w:rPr>
                          <w:rFonts w:ascii="Titillium Lt" w:hAnsi="Titillium Lt" w:cs="Titillium-LightItalic"/>
                          <w:i/>
                          <w:iCs/>
                          <w:color w:val="000000"/>
                          <w:sz w:val="18"/>
                          <w:szCs w:val="18"/>
                        </w:rPr>
                      </w:pPr>
                      <w:r w:rsidRPr="008275C8">
                        <w:rPr>
                          <w:rFonts w:ascii="Titillium Lt" w:hAnsi="Titillium Lt" w:cs="Titillium-LightItalic"/>
                          <w:i/>
                          <w:iCs/>
                          <w:color w:val="000000"/>
                          <w:sz w:val="18"/>
                          <w:szCs w:val="18"/>
                        </w:rPr>
                        <w:t xml:space="preserve">Változó megjelenésű </w:t>
                      </w:r>
                      <w:r>
                        <w:rPr>
                          <w:rFonts w:ascii="Titillium Lt" w:hAnsi="Titillium Lt" w:cs="Titillium-LightItalic"/>
                          <w:i/>
                          <w:iCs/>
                          <w:color w:val="000000"/>
                          <w:sz w:val="18"/>
                          <w:szCs w:val="18"/>
                        </w:rPr>
                        <w:t xml:space="preserve">falusias </w:t>
                      </w:r>
                      <w:r w:rsidRPr="008275C8">
                        <w:rPr>
                          <w:rFonts w:ascii="Titillium Lt" w:hAnsi="Titillium Lt" w:cs="Titillium-LightItalic"/>
                          <w:i/>
                          <w:iCs/>
                          <w:color w:val="000000"/>
                          <w:sz w:val="18"/>
                          <w:szCs w:val="18"/>
                        </w:rPr>
                        <w:t>területek</w:t>
                      </w:r>
                    </w:p>
                    <w:p w:rsidR="00353F7C" w:rsidRPr="008275C8" w:rsidRDefault="00353F7C" w:rsidP="00353F7C">
                      <w:pPr>
                        <w:tabs>
                          <w:tab w:val="left" w:pos="142"/>
                        </w:tabs>
                        <w:autoSpaceDE w:val="0"/>
                        <w:autoSpaceDN w:val="0"/>
                        <w:adjustRightInd w:val="0"/>
                        <w:spacing w:after="120" w:line="240" w:lineRule="auto"/>
                        <w:contextualSpacing/>
                        <w:jc w:val="right"/>
                        <w:rPr>
                          <w:rFonts w:ascii="Titillium Lt" w:hAnsi="Titillium Lt" w:cs="Titillium-LightItalic"/>
                          <w:i/>
                          <w:iCs/>
                          <w:color w:val="000000"/>
                          <w:sz w:val="18"/>
                          <w:szCs w:val="18"/>
                        </w:rPr>
                      </w:pPr>
                    </w:p>
                    <w:p w:rsidR="00353F7C" w:rsidRPr="008275C8" w:rsidRDefault="00353F7C" w:rsidP="00353F7C">
                      <w:pPr>
                        <w:tabs>
                          <w:tab w:val="left" w:pos="142"/>
                        </w:tabs>
                        <w:autoSpaceDE w:val="0"/>
                        <w:autoSpaceDN w:val="0"/>
                        <w:adjustRightInd w:val="0"/>
                        <w:spacing w:after="120" w:line="240" w:lineRule="auto"/>
                        <w:contextualSpacing/>
                        <w:jc w:val="right"/>
                        <w:rPr>
                          <w:rFonts w:ascii="Titillium Lt" w:hAnsi="Titillium Lt" w:cs="Titillium-LightItalic"/>
                          <w:i/>
                          <w:iCs/>
                          <w:sz w:val="18"/>
                          <w:szCs w:val="18"/>
                        </w:rPr>
                      </w:pPr>
                      <w:r w:rsidRPr="008275C8">
                        <w:rPr>
                          <w:rFonts w:ascii="Titillium Lt" w:hAnsi="Titillium Lt" w:cs="Titillium-LightItalic"/>
                          <w:i/>
                          <w:iCs/>
                          <w:sz w:val="18"/>
                          <w:szCs w:val="18"/>
                        </w:rPr>
                        <w:t>Beépítésre nem szánt területek</w:t>
                      </w:r>
                    </w:p>
                    <w:p w:rsidR="00353F7C" w:rsidRDefault="00353F7C" w:rsidP="00353F7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bookmarkStart w:id="0" w:name="_GoBack"/>
      <w:bookmarkEnd w:id="0"/>
    </w:p>
    <w:sectPr w:rsidR="00C70295" w:rsidRPr="00353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tillium Lt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tillium-LightItalic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F7C"/>
    <w:rsid w:val="00353F7C"/>
    <w:rsid w:val="00C623CB"/>
    <w:rsid w:val="00C7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59C8B"/>
  <w15:chartTrackingRefBased/>
  <w15:docId w15:val="{BC3B4FAD-5DE2-41FA-8944-E398FA1C0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53F7C"/>
    <w:pPr>
      <w:spacing w:after="200" w:line="276" w:lineRule="auto"/>
    </w:pPr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53F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1</cp:revision>
  <dcterms:created xsi:type="dcterms:W3CDTF">2018-02-14T08:52:00Z</dcterms:created>
  <dcterms:modified xsi:type="dcterms:W3CDTF">2018-02-14T08:52:00Z</dcterms:modified>
</cp:coreProperties>
</file>