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D5E" w:rsidRPr="00E558D2" w:rsidRDefault="00C15D5E" w:rsidP="00C15D5E">
      <w:pPr>
        <w:shd w:val="clear" w:color="auto" w:fill="FFFFFF"/>
        <w:overflowPunct w:val="0"/>
        <w:autoSpaceDE w:val="0"/>
        <w:autoSpaceDN w:val="0"/>
        <w:adjustRightInd w:val="0"/>
        <w:spacing w:before="120"/>
        <w:jc w:val="right"/>
        <w:textAlignment w:val="baseline"/>
        <w:rPr>
          <w:rFonts w:ascii="Arial Narrow" w:hAnsi="Arial Narrow"/>
          <w:b/>
          <w:i/>
          <w:sz w:val="22"/>
          <w:szCs w:val="22"/>
        </w:rPr>
      </w:pPr>
      <w:r w:rsidRPr="00E558D2">
        <w:rPr>
          <w:rStyle w:val="Lbjegyzet-hivatkozs"/>
          <w:rFonts w:ascii="Arial Narrow" w:hAnsi="Arial Narrow" w:cs="Arial"/>
          <w:sz w:val="22"/>
          <w:szCs w:val="22"/>
        </w:rPr>
        <w:footnoteReference w:id="1"/>
      </w:r>
      <w:r w:rsidRPr="00E558D2">
        <w:rPr>
          <w:rFonts w:ascii="Arial Narrow" w:hAnsi="Arial Narrow"/>
          <w:b/>
          <w:i/>
          <w:sz w:val="22"/>
          <w:szCs w:val="22"/>
        </w:rPr>
        <w:t xml:space="preserve">3. sz. melléklet </w:t>
      </w:r>
    </w:p>
    <w:p w:rsidR="00C15D5E" w:rsidRPr="00E558D2" w:rsidRDefault="00C15D5E" w:rsidP="00C15D5E">
      <w:pPr>
        <w:keepNext/>
        <w:overflowPunct w:val="0"/>
        <w:autoSpaceDE w:val="0"/>
        <w:autoSpaceDN w:val="0"/>
        <w:adjustRightInd w:val="0"/>
        <w:spacing w:before="100" w:beforeAutospacing="1"/>
        <w:ind w:left="708"/>
        <w:textAlignment w:val="baseline"/>
        <w:outlineLvl w:val="1"/>
        <w:rPr>
          <w:rFonts w:ascii="Arial Narrow" w:hAnsi="Arial Narrow"/>
          <w:b/>
          <w:i/>
          <w:sz w:val="22"/>
          <w:szCs w:val="22"/>
        </w:rPr>
      </w:pPr>
      <w:r w:rsidRPr="00E558D2">
        <w:rPr>
          <w:rFonts w:ascii="Arial Narrow" w:hAnsi="Arial Narrow"/>
          <w:b/>
          <w:i/>
          <w:sz w:val="22"/>
          <w:szCs w:val="22"/>
        </w:rPr>
        <w:t xml:space="preserve">Fogalom-meghatározások </w:t>
      </w:r>
    </w:p>
    <w:p w:rsidR="00C15D5E" w:rsidRPr="00E558D2" w:rsidRDefault="00C15D5E" w:rsidP="00C15D5E">
      <w:pPr>
        <w:overflowPunct w:val="0"/>
        <w:autoSpaceDE w:val="0"/>
        <w:autoSpaceDN w:val="0"/>
        <w:adjustRightInd w:val="0"/>
        <w:spacing w:before="120"/>
        <w:ind w:left="709" w:hanging="709"/>
        <w:jc w:val="both"/>
        <w:textAlignment w:val="baseline"/>
        <w:rPr>
          <w:rFonts w:ascii="Arial Narrow" w:hAnsi="Arial Narrow"/>
          <w:i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60"/>
        <w:gridCol w:w="2700"/>
        <w:gridCol w:w="5921"/>
      </w:tblGrid>
      <w:tr w:rsidR="00C15D5E" w:rsidRPr="00E558D2" w:rsidTr="00F24986">
        <w:tc>
          <w:tcPr>
            <w:tcW w:w="360" w:type="dxa"/>
            <w:shd w:val="clear" w:color="auto" w:fill="auto"/>
          </w:tcPr>
          <w:p w:rsidR="00C15D5E" w:rsidRPr="00E558D2" w:rsidRDefault="00C15D5E" w:rsidP="00C15D5E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700" w:type="dxa"/>
            <w:shd w:val="clear" w:color="auto" w:fill="auto"/>
          </w:tcPr>
          <w:p w:rsidR="00C15D5E" w:rsidRPr="00E558D2" w:rsidRDefault="00C15D5E" w:rsidP="00F24986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E558D2">
              <w:rPr>
                <w:rFonts w:ascii="Arial Narrow" w:hAnsi="Arial Narrow"/>
                <w:b/>
                <w:i/>
                <w:sz w:val="22"/>
                <w:szCs w:val="22"/>
              </w:rPr>
              <w:t>Főépület:</w:t>
            </w:r>
          </w:p>
        </w:tc>
        <w:tc>
          <w:tcPr>
            <w:tcW w:w="5921" w:type="dxa"/>
            <w:shd w:val="clear" w:color="auto" w:fill="auto"/>
          </w:tcPr>
          <w:p w:rsidR="00C15D5E" w:rsidRPr="00E558D2" w:rsidRDefault="00C15D5E" w:rsidP="00F24986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ascii="Arial Narrow" w:hAnsi="Arial Narrow"/>
                <w:i/>
                <w:sz w:val="22"/>
                <w:szCs w:val="22"/>
              </w:rPr>
            </w:pPr>
            <w:r w:rsidRPr="00E558D2">
              <w:rPr>
                <w:rFonts w:ascii="Arial Narrow" w:hAnsi="Arial Narrow"/>
                <w:i/>
                <w:sz w:val="22"/>
                <w:szCs w:val="22"/>
              </w:rPr>
              <w:t>Azon építmény, amely az adott építési övezetben vagy övezetben megnevezett elhelyezhető funkciók befogadói.</w:t>
            </w:r>
          </w:p>
        </w:tc>
      </w:tr>
      <w:tr w:rsidR="00C15D5E" w:rsidRPr="00E558D2" w:rsidTr="00F24986">
        <w:tc>
          <w:tcPr>
            <w:tcW w:w="360" w:type="dxa"/>
            <w:shd w:val="clear" w:color="auto" w:fill="auto"/>
          </w:tcPr>
          <w:p w:rsidR="00C15D5E" w:rsidRPr="00E558D2" w:rsidRDefault="00C15D5E" w:rsidP="00C15D5E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700" w:type="dxa"/>
            <w:shd w:val="clear" w:color="auto" w:fill="auto"/>
          </w:tcPr>
          <w:p w:rsidR="00C15D5E" w:rsidRPr="00E558D2" w:rsidRDefault="00C15D5E" w:rsidP="00F24986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E558D2">
              <w:rPr>
                <w:rFonts w:ascii="Arial Narrow" w:hAnsi="Arial Narrow"/>
                <w:b/>
                <w:i/>
                <w:sz w:val="22"/>
                <w:szCs w:val="22"/>
              </w:rPr>
              <w:t>Helyi lakosság ellátását szolgáló kereskedelmi, szolgáltató, vendéglátó épület:</w:t>
            </w:r>
          </w:p>
          <w:p w:rsidR="00C15D5E" w:rsidRPr="00E558D2" w:rsidRDefault="00C15D5E" w:rsidP="00F24986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ascii="Arial Narrow" w:hAnsi="Arial Narrow"/>
                <w:b/>
                <w:i/>
                <w:sz w:val="22"/>
                <w:szCs w:val="22"/>
              </w:rPr>
            </w:pPr>
          </w:p>
        </w:tc>
        <w:tc>
          <w:tcPr>
            <w:tcW w:w="5921" w:type="dxa"/>
            <w:shd w:val="clear" w:color="auto" w:fill="auto"/>
          </w:tcPr>
          <w:p w:rsidR="00C15D5E" w:rsidRPr="00E558D2" w:rsidRDefault="00C15D5E" w:rsidP="00F24986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ascii="Arial Narrow" w:hAnsi="Arial Narrow"/>
                <w:i/>
                <w:sz w:val="22"/>
                <w:szCs w:val="22"/>
              </w:rPr>
            </w:pPr>
            <w:r w:rsidRPr="00E558D2">
              <w:rPr>
                <w:rFonts w:ascii="Arial Narrow" w:hAnsi="Arial Narrow"/>
                <w:i/>
                <w:sz w:val="22"/>
                <w:szCs w:val="22"/>
              </w:rPr>
              <w:t>Az OTÉK 11-14. §</w:t>
            </w:r>
            <w:proofErr w:type="spellStart"/>
            <w:r w:rsidRPr="00E558D2">
              <w:rPr>
                <w:rFonts w:ascii="Arial Narrow" w:hAnsi="Arial Narrow"/>
                <w:i/>
                <w:sz w:val="22"/>
                <w:szCs w:val="22"/>
              </w:rPr>
              <w:t>-ai</w:t>
            </w:r>
            <w:proofErr w:type="spellEnd"/>
            <w:r w:rsidRPr="00E558D2">
              <w:rPr>
                <w:rFonts w:ascii="Arial Narrow" w:hAnsi="Arial Narrow"/>
                <w:i/>
                <w:sz w:val="22"/>
                <w:szCs w:val="22"/>
              </w:rPr>
              <w:t xml:space="preserve"> szerint használt fogalom, melyben a helyi lakosságot az adott lakóterület (városrész) lakosságaként kell értelmezni. E fogalomkörbe tartozóan kereskedelmi, szolgáltató, vendéglátó épület: (rendeltetési egység) "szintterülete" a 200 m2-t nem haladhatja meg.</w:t>
            </w:r>
          </w:p>
        </w:tc>
      </w:tr>
      <w:tr w:rsidR="00C15D5E" w:rsidRPr="00E558D2" w:rsidTr="00F24986">
        <w:tc>
          <w:tcPr>
            <w:tcW w:w="360" w:type="dxa"/>
            <w:shd w:val="clear" w:color="auto" w:fill="auto"/>
          </w:tcPr>
          <w:p w:rsidR="00C15D5E" w:rsidRPr="00E558D2" w:rsidRDefault="00C15D5E" w:rsidP="00C15D5E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700" w:type="dxa"/>
            <w:shd w:val="clear" w:color="auto" w:fill="auto"/>
          </w:tcPr>
          <w:p w:rsidR="00C15D5E" w:rsidRPr="00E558D2" w:rsidRDefault="00C15D5E" w:rsidP="00F24986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E558D2">
              <w:rPr>
                <w:rFonts w:ascii="Arial Narrow" w:hAnsi="Arial Narrow"/>
                <w:b/>
                <w:i/>
                <w:sz w:val="22"/>
                <w:szCs w:val="22"/>
              </w:rPr>
              <w:t>Helyi lakosságon kívüli vendégkör ellátását is szolgáló kereskedelmi, szolgáltató, vendéglátó épület:</w:t>
            </w:r>
          </w:p>
        </w:tc>
        <w:tc>
          <w:tcPr>
            <w:tcW w:w="5921" w:type="dxa"/>
            <w:shd w:val="clear" w:color="auto" w:fill="auto"/>
          </w:tcPr>
          <w:p w:rsidR="00C15D5E" w:rsidRPr="00E558D2" w:rsidRDefault="00C15D5E" w:rsidP="00F24986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ascii="Arial Narrow" w:hAnsi="Arial Narrow"/>
                <w:i/>
                <w:sz w:val="22"/>
                <w:szCs w:val="22"/>
              </w:rPr>
            </w:pPr>
            <w:r w:rsidRPr="00E558D2">
              <w:rPr>
                <w:rFonts w:ascii="Arial Narrow" w:hAnsi="Arial Narrow"/>
                <w:i/>
                <w:sz w:val="22"/>
                <w:szCs w:val="22"/>
              </w:rPr>
              <w:t>A 2. pontban szereplő lakóterületi egységet meghaladó, jellemzően jelentősebb külső forgalmat vonzó létesítmények. Elhelyezésükre a "kivételesen elhelyezhető építmények" eljárási szabályai szerint kerülhet sor.</w:t>
            </w:r>
          </w:p>
        </w:tc>
      </w:tr>
      <w:tr w:rsidR="00C15D5E" w:rsidRPr="00E558D2" w:rsidTr="00F24986">
        <w:tc>
          <w:tcPr>
            <w:tcW w:w="360" w:type="dxa"/>
            <w:shd w:val="clear" w:color="auto" w:fill="auto"/>
          </w:tcPr>
          <w:p w:rsidR="00C15D5E" w:rsidRPr="00E558D2" w:rsidRDefault="00C15D5E" w:rsidP="00C15D5E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700" w:type="dxa"/>
            <w:shd w:val="clear" w:color="auto" w:fill="auto"/>
          </w:tcPr>
          <w:p w:rsidR="00C15D5E" w:rsidRPr="00E558D2" w:rsidRDefault="00C15D5E" w:rsidP="00F24986">
            <w:pPr>
              <w:overflowPunct w:val="0"/>
              <w:autoSpaceDE w:val="0"/>
              <w:autoSpaceDN w:val="0"/>
              <w:adjustRightInd w:val="0"/>
              <w:spacing w:before="100"/>
              <w:textAlignment w:val="baseline"/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E558D2">
              <w:rPr>
                <w:rFonts w:ascii="Arial Narrow" w:hAnsi="Arial Narrow"/>
                <w:b/>
                <w:i/>
                <w:sz w:val="22"/>
                <w:szCs w:val="22"/>
              </w:rPr>
              <w:t>Kivételesen elhelyezhető építmények:</w:t>
            </w:r>
          </w:p>
        </w:tc>
        <w:tc>
          <w:tcPr>
            <w:tcW w:w="5921" w:type="dxa"/>
            <w:shd w:val="clear" w:color="auto" w:fill="auto"/>
          </w:tcPr>
          <w:p w:rsidR="00C15D5E" w:rsidRPr="00E558D2" w:rsidRDefault="00C15D5E" w:rsidP="00F24986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ascii="Arial Narrow" w:hAnsi="Arial Narrow"/>
                <w:i/>
                <w:sz w:val="22"/>
                <w:szCs w:val="22"/>
              </w:rPr>
            </w:pPr>
            <w:r w:rsidRPr="00E558D2">
              <w:rPr>
                <w:rFonts w:ascii="Arial Narrow" w:hAnsi="Arial Narrow"/>
                <w:i/>
                <w:sz w:val="22"/>
                <w:szCs w:val="22"/>
              </w:rPr>
              <w:t>Az egyes övezetekben jelölt építmények, amelyek engedélyezése során az OTÉK 31.§ (2) és (3) bekezdései szerint kell eljárni.</w:t>
            </w:r>
          </w:p>
        </w:tc>
      </w:tr>
      <w:tr w:rsidR="00C15D5E" w:rsidRPr="00E558D2" w:rsidTr="00F24986">
        <w:tc>
          <w:tcPr>
            <w:tcW w:w="360" w:type="dxa"/>
          </w:tcPr>
          <w:p w:rsidR="00C15D5E" w:rsidRPr="00E558D2" w:rsidRDefault="00C15D5E" w:rsidP="00C15D5E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700" w:type="dxa"/>
            <w:shd w:val="clear" w:color="auto" w:fill="auto"/>
          </w:tcPr>
          <w:p w:rsidR="00C15D5E" w:rsidRPr="00E558D2" w:rsidRDefault="00C15D5E" w:rsidP="00F24986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E558D2">
              <w:rPr>
                <w:rFonts w:ascii="Arial Narrow" w:hAnsi="Arial Narrow"/>
                <w:b/>
                <w:i/>
                <w:sz w:val="22"/>
                <w:szCs w:val="22"/>
              </w:rPr>
              <w:t>Melléképület:</w:t>
            </w:r>
          </w:p>
        </w:tc>
        <w:tc>
          <w:tcPr>
            <w:tcW w:w="5921" w:type="dxa"/>
            <w:shd w:val="clear" w:color="auto" w:fill="auto"/>
          </w:tcPr>
          <w:p w:rsidR="00C15D5E" w:rsidRPr="00E558D2" w:rsidRDefault="00C15D5E" w:rsidP="00F24986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ascii="Arial Narrow" w:hAnsi="Arial Narrow"/>
                <w:i/>
                <w:sz w:val="22"/>
                <w:szCs w:val="22"/>
              </w:rPr>
            </w:pPr>
            <w:r w:rsidRPr="00E558D2">
              <w:rPr>
                <w:rFonts w:ascii="Arial Narrow" w:hAnsi="Arial Narrow"/>
                <w:i/>
                <w:sz w:val="22"/>
                <w:szCs w:val="22"/>
              </w:rPr>
              <w:t>Az építmények azon csoportja, amelyek a főépületek használatát kiegészítik, különállóan épülnek és nem minősülnek melléképítménynek.</w:t>
            </w:r>
          </w:p>
          <w:p w:rsidR="00C15D5E" w:rsidRPr="00E558D2" w:rsidRDefault="00C15D5E" w:rsidP="00F24986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ascii="Arial Narrow" w:hAnsi="Arial Narrow"/>
                <w:i/>
                <w:sz w:val="22"/>
                <w:szCs w:val="22"/>
              </w:rPr>
            </w:pPr>
            <w:r w:rsidRPr="00E558D2">
              <w:rPr>
                <w:rFonts w:ascii="Arial Narrow" w:hAnsi="Arial Narrow"/>
                <w:i/>
                <w:sz w:val="22"/>
                <w:szCs w:val="22"/>
              </w:rPr>
              <w:t xml:space="preserve">Melléképületek különösen: garázs, </w:t>
            </w:r>
            <w:proofErr w:type="spellStart"/>
            <w:r w:rsidRPr="00E558D2">
              <w:rPr>
                <w:rFonts w:ascii="Arial Narrow" w:hAnsi="Arial Narrow"/>
                <w:i/>
                <w:sz w:val="22"/>
                <w:szCs w:val="22"/>
              </w:rPr>
              <w:t>nyárikonyha</w:t>
            </w:r>
            <w:proofErr w:type="spellEnd"/>
            <w:r w:rsidRPr="00E558D2">
              <w:rPr>
                <w:rFonts w:ascii="Arial Narrow" w:hAnsi="Arial Narrow"/>
                <w:i/>
                <w:sz w:val="22"/>
                <w:szCs w:val="22"/>
              </w:rPr>
              <w:t xml:space="preserve">, fáskamra, raktár, szerszámtároló, </w:t>
            </w:r>
            <w:proofErr w:type="spellStart"/>
            <w:r w:rsidRPr="00E558D2">
              <w:rPr>
                <w:rFonts w:ascii="Arial Narrow" w:hAnsi="Arial Narrow"/>
                <w:i/>
                <w:sz w:val="22"/>
                <w:szCs w:val="22"/>
              </w:rPr>
              <w:t>barkácsműhely</w:t>
            </w:r>
            <w:proofErr w:type="spellEnd"/>
            <w:r w:rsidRPr="00E558D2">
              <w:rPr>
                <w:rFonts w:ascii="Arial Narrow" w:hAnsi="Arial Narrow"/>
                <w:i/>
                <w:sz w:val="22"/>
                <w:szCs w:val="22"/>
              </w:rPr>
              <w:t>, állattartó épület, fedett úszómedence, szauna, sport-és fitnesz épület stb.</w:t>
            </w:r>
          </w:p>
        </w:tc>
      </w:tr>
      <w:tr w:rsidR="00C15D5E" w:rsidRPr="00E558D2" w:rsidTr="00F24986">
        <w:tc>
          <w:tcPr>
            <w:tcW w:w="360" w:type="dxa"/>
            <w:shd w:val="clear" w:color="auto" w:fill="auto"/>
          </w:tcPr>
          <w:p w:rsidR="00C15D5E" w:rsidRPr="00E558D2" w:rsidRDefault="00C15D5E" w:rsidP="00C15D5E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700" w:type="dxa"/>
            <w:shd w:val="clear" w:color="auto" w:fill="auto"/>
          </w:tcPr>
          <w:p w:rsidR="00C15D5E" w:rsidRPr="00E558D2" w:rsidRDefault="00C15D5E" w:rsidP="00F24986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E558D2">
              <w:rPr>
                <w:rFonts w:ascii="Arial Narrow" w:hAnsi="Arial Narrow"/>
                <w:b/>
                <w:i/>
                <w:sz w:val="22"/>
                <w:szCs w:val="22"/>
              </w:rPr>
              <w:t>Teljes infrastruktúra:</w:t>
            </w:r>
          </w:p>
        </w:tc>
        <w:tc>
          <w:tcPr>
            <w:tcW w:w="5921" w:type="dxa"/>
            <w:shd w:val="clear" w:color="auto" w:fill="auto"/>
          </w:tcPr>
          <w:p w:rsidR="00C15D5E" w:rsidRPr="00E558D2" w:rsidRDefault="00C15D5E" w:rsidP="00F24986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ascii="Arial Narrow" w:hAnsi="Arial Narrow"/>
                <w:i/>
                <w:sz w:val="22"/>
                <w:szCs w:val="22"/>
              </w:rPr>
            </w:pPr>
            <w:r w:rsidRPr="00E558D2">
              <w:rPr>
                <w:rFonts w:ascii="Arial Narrow" w:hAnsi="Arial Narrow"/>
                <w:i/>
                <w:sz w:val="22"/>
                <w:szCs w:val="22"/>
              </w:rPr>
              <w:t xml:space="preserve">A rendelet szempontjából teljes infrastruktúra a közüzemi </w:t>
            </w:r>
            <w:proofErr w:type="gramStart"/>
            <w:r w:rsidRPr="00E558D2">
              <w:rPr>
                <w:rFonts w:ascii="Arial Narrow" w:hAnsi="Arial Narrow"/>
                <w:i/>
                <w:sz w:val="22"/>
                <w:szCs w:val="22"/>
              </w:rPr>
              <w:t>energia szolgáltatás</w:t>
            </w:r>
            <w:proofErr w:type="gramEnd"/>
            <w:r w:rsidRPr="00E558D2">
              <w:rPr>
                <w:rFonts w:ascii="Arial Narrow" w:hAnsi="Arial Narrow"/>
                <w:i/>
                <w:sz w:val="22"/>
                <w:szCs w:val="22"/>
              </w:rPr>
              <w:t xml:space="preserve"> (villamos energia és vezetékes gáz vagy </w:t>
            </w:r>
            <w:proofErr w:type="spellStart"/>
            <w:r w:rsidRPr="00E558D2">
              <w:rPr>
                <w:rFonts w:ascii="Arial Narrow" w:hAnsi="Arial Narrow"/>
                <w:i/>
                <w:sz w:val="22"/>
                <w:szCs w:val="22"/>
              </w:rPr>
              <w:t>távhő</w:t>
            </w:r>
            <w:proofErr w:type="spellEnd"/>
            <w:r w:rsidRPr="00E558D2">
              <w:rPr>
                <w:rFonts w:ascii="Arial Narrow" w:hAnsi="Arial Narrow"/>
                <w:i/>
                <w:sz w:val="22"/>
                <w:szCs w:val="22"/>
              </w:rPr>
              <w:t xml:space="preserve">), a közüzemi ivóvíz szolgáltatás, a közüzemi szennyvízelvezetés és </w:t>
            </w:r>
            <w:proofErr w:type="spellStart"/>
            <w:r w:rsidRPr="00E558D2">
              <w:rPr>
                <w:rFonts w:ascii="Arial Narrow" w:hAnsi="Arial Narrow"/>
                <w:i/>
                <w:sz w:val="22"/>
                <w:szCs w:val="22"/>
              </w:rPr>
              <w:t>-tisztítás</w:t>
            </w:r>
            <w:proofErr w:type="spellEnd"/>
            <w:r w:rsidRPr="00E558D2">
              <w:rPr>
                <w:rFonts w:ascii="Arial Narrow" w:hAnsi="Arial Narrow"/>
                <w:i/>
                <w:sz w:val="22"/>
                <w:szCs w:val="22"/>
              </w:rPr>
              <w:t>, a közterületi nyílt vagy zárt rendszerű csapadékvíz-elvezetés, továbbá a közvilágítás, a szilárd burkolatú út és szükség szerint szilárd burkolatú járda együttes megléte.</w:t>
            </w:r>
          </w:p>
        </w:tc>
      </w:tr>
      <w:tr w:rsidR="00C15D5E" w:rsidRPr="00E558D2" w:rsidTr="00F24986">
        <w:tc>
          <w:tcPr>
            <w:tcW w:w="360" w:type="dxa"/>
            <w:tcBorders>
              <w:bottom w:val="single" w:sz="4" w:space="0" w:color="auto"/>
            </w:tcBorders>
            <w:shd w:val="clear" w:color="auto" w:fill="auto"/>
          </w:tcPr>
          <w:p w:rsidR="00C15D5E" w:rsidRPr="00E558D2" w:rsidRDefault="00C15D5E" w:rsidP="00C15D5E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</w:tcPr>
          <w:p w:rsidR="00C15D5E" w:rsidRPr="00E558D2" w:rsidRDefault="00C15D5E" w:rsidP="00F24986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E558D2">
              <w:rPr>
                <w:rFonts w:ascii="Arial Narrow" w:hAnsi="Arial Narrow"/>
                <w:b/>
                <w:i/>
                <w:sz w:val="22"/>
                <w:szCs w:val="22"/>
              </w:rPr>
              <w:t>Tömbbelső feltárás:</w:t>
            </w:r>
          </w:p>
        </w:tc>
        <w:tc>
          <w:tcPr>
            <w:tcW w:w="5921" w:type="dxa"/>
            <w:tcBorders>
              <w:bottom w:val="single" w:sz="4" w:space="0" w:color="auto"/>
            </w:tcBorders>
            <w:shd w:val="clear" w:color="auto" w:fill="auto"/>
          </w:tcPr>
          <w:p w:rsidR="00C15D5E" w:rsidRPr="00E558D2" w:rsidRDefault="00C15D5E" w:rsidP="00F24986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ascii="Arial Narrow" w:hAnsi="Arial Narrow"/>
                <w:i/>
                <w:sz w:val="22"/>
                <w:szCs w:val="22"/>
              </w:rPr>
            </w:pPr>
            <w:r w:rsidRPr="00E558D2">
              <w:rPr>
                <w:rFonts w:ascii="Arial Narrow" w:hAnsi="Arial Narrow"/>
                <w:i/>
                <w:sz w:val="22"/>
                <w:szCs w:val="22"/>
              </w:rPr>
              <w:t>Beépítésre szánt területen kialakult telektömb belső - jellemzően beépítetlen -, területein új utcanyitással új építési telkek kialakítása.</w:t>
            </w:r>
          </w:p>
        </w:tc>
      </w:tr>
      <w:tr w:rsidR="00C15D5E" w:rsidRPr="00E558D2" w:rsidTr="00F24986">
        <w:tc>
          <w:tcPr>
            <w:tcW w:w="36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15D5E" w:rsidRPr="00E558D2" w:rsidRDefault="00C15D5E" w:rsidP="00C15D5E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15D5E" w:rsidRPr="00E558D2" w:rsidRDefault="00C15D5E" w:rsidP="00F24986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E558D2">
              <w:rPr>
                <w:rFonts w:ascii="Arial Narrow" w:hAnsi="Arial Narrow"/>
                <w:b/>
                <w:i/>
                <w:sz w:val="22"/>
                <w:szCs w:val="22"/>
              </w:rPr>
              <w:t>Új utca:</w:t>
            </w:r>
          </w:p>
        </w:tc>
        <w:tc>
          <w:tcPr>
            <w:tcW w:w="592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C15D5E" w:rsidRPr="00E558D2" w:rsidRDefault="00C15D5E" w:rsidP="00F24986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ascii="Arial Narrow" w:hAnsi="Arial Narrow"/>
                <w:i/>
                <w:sz w:val="22"/>
                <w:szCs w:val="22"/>
              </w:rPr>
            </w:pPr>
            <w:r w:rsidRPr="00E558D2">
              <w:rPr>
                <w:rFonts w:ascii="Arial Narrow" w:hAnsi="Arial Narrow"/>
                <w:i/>
                <w:sz w:val="22"/>
                <w:szCs w:val="22"/>
              </w:rPr>
              <w:t xml:space="preserve">Azon új utcanyitással létesülő utca, amelynek az ingatlan-nyilvántartási átvezetésére a jelen módosítás hatálybalépését követően (2014. január 1-én) kerül sor. </w:t>
            </w:r>
          </w:p>
        </w:tc>
      </w:tr>
      <w:tr w:rsidR="00C15D5E" w:rsidRPr="00E558D2" w:rsidTr="00F24986">
        <w:tc>
          <w:tcPr>
            <w:tcW w:w="36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15D5E" w:rsidRPr="00E558D2" w:rsidRDefault="00C15D5E" w:rsidP="00C15D5E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15D5E" w:rsidRPr="00E558D2" w:rsidRDefault="00C15D5E" w:rsidP="00F24986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E558D2">
              <w:rPr>
                <w:rFonts w:ascii="Arial Narrow" w:hAnsi="Arial Narrow"/>
                <w:b/>
                <w:i/>
                <w:sz w:val="22"/>
                <w:szCs w:val="22"/>
              </w:rPr>
              <w:t>Új utcanyitás:</w:t>
            </w:r>
          </w:p>
        </w:tc>
        <w:tc>
          <w:tcPr>
            <w:tcW w:w="592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C15D5E" w:rsidRPr="00E558D2" w:rsidRDefault="00C15D5E" w:rsidP="00F24986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ascii="Arial Narrow" w:hAnsi="Arial Narrow"/>
                <w:i/>
                <w:sz w:val="22"/>
                <w:szCs w:val="22"/>
              </w:rPr>
            </w:pPr>
            <w:r w:rsidRPr="00E558D2">
              <w:rPr>
                <w:rFonts w:ascii="Arial Narrow" w:hAnsi="Arial Narrow"/>
                <w:i/>
                <w:sz w:val="22"/>
                <w:szCs w:val="22"/>
              </w:rPr>
              <w:t>Új építési telkek feltárása céljára új utca, utcaszakasz kialakítása, a meglévő utca továbbépítése (meghosszabbítása).</w:t>
            </w:r>
          </w:p>
        </w:tc>
      </w:tr>
      <w:tr w:rsidR="00C15D5E" w:rsidRPr="00E558D2" w:rsidTr="00F24986">
        <w:tc>
          <w:tcPr>
            <w:tcW w:w="360" w:type="dxa"/>
          </w:tcPr>
          <w:p w:rsidR="00C15D5E" w:rsidRPr="00E558D2" w:rsidRDefault="00C15D5E" w:rsidP="00C15D5E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ascii="Arial Narrow" w:hAnsi="Arial Narrow"/>
                <w:b/>
                <w:i/>
                <w:sz w:val="22"/>
                <w:szCs w:val="22"/>
              </w:rPr>
            </w:pPr>
          </w:p>
        </w:tc>
        <w:tc>
          <w:tcPr>
            <w:tcW w:w="2700" w:type="dxa"/>
            <w:tcBorders>
              <w:right w:val="nil"/>
            </w:tcBorders>
            <w:shd w:val="clear" w:color="auto" w:fill="auto"/>
          </w:tcPr>
          <w:p w:rsidR="00C15D5E" w:rsidRPr="00E558D2" w:rsidRDefault="00C15D5E" w:rsidP="00F24986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E558D2">
              <w:rPr>
                <w:rFonts w:ascii="Arial Narrow" w:hAnsi="Arial Narrow"/>
                <w:b/>
                <w:i/>
                <w:sz w:val="22"/>
                <w:szCs w:val="22"/>
              </w:rPr>
              <w:t>Új villamosenergia hálózat:</w:t>
            </w:r>
          </w:p>
        </w:tc>
        <w:tc>
          <w:tcPr>
            <w:tcW w:w="5921" w:type="dxa"/>
            <w:tcBorders>
              <w:left w:val="nil"/>
            </w:tcBorders>
            <w:shd w:val="clear" w:color="auto" w:fill="auto"/>
          </w:tcPr>
          <w:p w:rsidR="00C15D5E" w:rsidRPr="00E558D2" w:rsidRDefault="00C15D5E" w:rsidP="00F24986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ascii="Arial Narrow" w:hAnsi="Arial Narrow"/>
                <w:i/>
                <w:sz w:val="22"/>
                <w:szCs w:val="22"/>
              </w:rPr>
            </w:pPr>
            <w:r w:rsidRPr="00E558D2">
              <w:rPr>
                <w:rFonts w:ascii="Arial Narrow" w:hAnsi="Arial Narrow"/>
                <w:i/>
                <w:sz w:val="22"/>
                <w:szCs w:val="22"/>
              </w:rPr>
              <w:t xml:space="preserve">Az új fogyasztói kört kiszolgáló hálózati rendszer. </w:t>
            </w:r>
          </w:p>
        </w:tc>
      </w:tr>
      <w:tr w:rsidR="00C15D5E" w:rsidRPr="00E558D2" w:rsidTr="00F24986">
        <w:tc>
          <w:tcPr>
            <w:tcW w:w="360" w:type="dxa"/>
          </w:tcPr>
          <w:p w:rsidR="00C15D5E" w:rsidRPr="00E558D2" w:rsidRDefault="00C15D5E" w:rsidP="00C15D5E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ascii="Arial Narrow" w:hAnsi="Arial Narrow"/>
                <w:b/>
                <w:i/>
                <w:sz w:val="22"/>
                <w:szCs w:val="22"/>
              </w:rPr>
            </w:pPr>
          </w:p>
        </w:tc>
        <w:tc>
          <w:tcPr>
            <w:tcW w:w="2700" w:type="dxa"/>
            <w:tcBorders>
              <w:right w:val="nil"/>
            </w:tcBorders>
            <w:shd w:val="clear" w:color="auto" w:fill="auto"/>
          </w:tcPr>
          <w:p w:rsidR="00C15D5E" w:rsidRPr="00E558D2" w:rsidRDefault="00C15D5E" w:rsidP="00F24986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E558D2">
              <w:rPr>
                <w:rFonts w:ascii="Arial Narrow" w:hAnsi="Arial Narrow"/>
                <w:b/>
                <w:i/>
                <w:sz w:val="22"/>
                <w:szCs w:val="22"/>
              </w:rPr>
              <w:t>Villamosenergia hálózati rekonstrukció:</w:t>
            </w:r>
          </w:p>
        </w:tc>
        <w:tc>
          <w:tcPr>
            <w:tcW w:w="5921" w:type="dxa"/>
            <w:tcBorders>
              <w:left w:val="nil"/>
            </w:tcBorders>
            <w:shd w:val="clear" w:color="auto" w:fill="auto"/>
          </w:tcPr>
          <w:p w:rsidR="00C15D5E" w:rsidRPr="00E558D2" w:rsidRDefault="00C15D5E" w:rsidP="00F24986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ascii="Arial Narrow" w:hAnsi="Arial Narrow"/>
                <w:i/>
                <w:sz w:val="22"/>
                <w:szCs w:val="22"/>
              </w:rPr>
            </w:pPr>
            <w:r w:rsidRPr="00E558D2">
              <w:rPr>
                <w:rFonts w:ascii="Arial Narrow" w:hAnsi="Arial Narrow"/>
                <w:i/>
                <w:sz w:val="22"/>
                <w:szCs w:val="22"/>
              </w:rPr>
              <w:t xml:space="preserve">Az üzemelő hálózat rövidebb, hosszabb szakaszának korszerűsítésére, esetleg kapacitásbővítésére irányuló beruházás, továbbá egyéb fejlesztés miatt a hálózat egy szakaszának </w:t>
            </w:r>
            <w:proofErr w:type="spellStart"/>
            <w:r w:rsidRPr="00E558D2">
              <w:rPr>
                <w:rFonts w:ascii="Arial Narrow" w:hAnsi="Arial Narrow"/>
                <w:i/>
                <w:sz w:val="22"/>
                <w:szCs w:val="22"/>
              </w:rPr>
              <w:t>nyomvonalkorrekciója</w:t>
            </w:r>
            <w:proofErr w:type="spellEnd"/>
            <w:r w:rsidRPr="00E558D2">
              <w:rPr>
                <w:rFonts w:ascii="Arial Narrow" w:hAnsi="Arial Narrow"/>
                <w:i/>
                <w:sz w:val="22"/>
                <w:szCs w:val="22"/>
              </w:rPr>
              <w:t>.</w:t>
            </w:r>
          </w:p>
        </w:tc>
      </w:tr>
    </w:tbl>
    <w:p w:rsidR="00C15D5E" w:rsidRPr="00E558D2" w:rsidRDefault="00C15D5E" w:rsidP="00C15D5E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ascii="Arial Narrow" w:hAnsi="Arial Narrow"/>
          <w:i/>
          <w:sz w:val="22"/>
          <w:szCs w:val="22"/>
        </w:rPr>
      </w:pPr>
    </w:p>
    <w:p w:rsidR="00C15D5E" w:rsidRPr="00E558D2" w:rsidRDefault="00C15D5E" w:rsidP="00C15D5E">
      <w:pPr>
        <w:ind w:left="426" w:hanging="426"/>
        <w:rPr>
          <w:rFonts w:ascii="Arial Narrow" w:hAnsi="Arial Narrow" w:cs="Arial"/>
          <w:b/>
          <w:smallCaps/>
          <w:sz w:val="22"/>
          <w:szCs w:val="22"/>
        </w:rPr>
      </w:pPr>
      <w:r w:rsidRPr="00E558D2">
        <w:rPr>
          <w:rFonts w:ascii="Arial Narrow" w:hAnsi="Arial Narrow" w:cs="Arial"/>
          <w:sz w:val="22"/>
          <w:szCs w:val="22"/>
        </w:rPr>
        <w:br w:type="page"/>
      </w:r>
      <w:r w:rsidRPr="00E558D2">
        <w:rPr>
          <w:rFonts w:ascii="Arial Narrow" w:hAnsi="Arial Narrow" w:cs="Arial"/>
          <w:b/>
          <w:smallCaps/>
          <w:sz w:val="22"/>
          <w:szCs w:val="22"/>
        </w:rPr>
        <w:lastRenderedPageBreak/>
        <w:t>1</w:t>
      </w:r>
      <w:proofErr w:type="gramStart"/>
      <w:r w:rsidRPr="00E558D2">
        <w:rPr>
          <w:rFonts w:ascii="Arial Narrow" w:hAnsi="Arial Narrow" w:cs="Arial"/>
          <w:b/>
          <w:smallCaps/>
          <w:sz w:val="22"/>
          <w:szCs w:val="22"/>
        </w:rPr>
        <w:t>.sz.</w:t>
      </w:r>
      <w:proofErr w:type="gramEnd"/>
      <w:r w:rsidRPr="00E558D2">
        <w:rPr>
          <w:rFonts w:ascii="Arial Narrow" w:hAnsi="Arial Narrow" w:cs="Arial"/>
          <w:b/>
          <w:smallCaps/>
          <w:sz w:val="22"/>
          <w:szCs w:val="22"/>
        </w:rPr>
        <w:t xml:space="preserve"> függelék a HÉSZ 23.§</w:t>
      </w:r>
      <w:proofErr w:type="spellStart"/>
      <w:r w:rsidRPr="00E558D2">
        <w:rPr>
          <w:rFonts w:ascii="Arial Narrow" w:hAnsi="Arial Narrow" w:cs="Arial"/>
          <w:b/>
          <w:smallCaps/>
          <w:sz w:val="22"/>
          <w:szCs w:val="22"/>
        </w:rPr>
        <w:t>-ához</w:t>
      </w:r>
      <w:proofErr w:type="spellEnd"/>
    </w:p>
    <w:p w:rsidR="00C15D5E" w:rsidRPr="00E558D2" w:rsidRDefault="00C15D5E" w:rsidP="00C15D5E">
      <w:pPr>
        <w:pStyle w:val="Szvegtrzs2"/>
        <w:spacing w:before="120" w:after="0" w:line="240" w:lineRule="auto"/>
        <w:rPr>
          <w:rFonts w:ascii="Arial Narrow" w:hAnsi="Arial Narrow" w:cs="Arial"/>
          <w:b/>
          <w:sz w:val="22"/>
          <w:szCs w:val="22"/>
        </w:rPr>
      </w:pPr>
    </w:p>
    <w:p w:rsidR="00C15D5E" w:rsidRPr="00E558D2" w:rsidRDefault="00C15D5E" w:rsidP="00C15D5E">
      <w:pPr>
        <w:pStyle w:val="Szvegtrzs2"/>
        <w:spacing w:before="120" w:after="0" w:line="240" w:lineRule="auto"/>
        <w:rPr>
          <w:rFonts w:ascii="Arial Narrow" w:hAnsi="Arial Narrow" w:cs="Arial"/>
          <w:b/>
          <w:sz w:val="22"/>
          <w:szCs w:val="22"/>
        </w:rPr>
      </w:pPr>
      <w:r w:rsidRPr="00E558D2">
        <w:rPr>
          <w:rFonts w:ascii="Arial Narrow" w:hAnsi="Arial Narrow" w:cs="Arial"/>
          <w:b/>
          <w:sz w:val="22"/>
          <w:szCs w:val="22"/>
        </w:rPr>
        <w:t>HELYI VÉDELEMRE JAVASOLT ÉPÍTÉSZETI ÉRTÉKEK</w:t>
      </w:r>
    </w:p>
    <w:p w:rsidR="00C15D5E" w:rsidRPr="00E558D2" w:rsidRDefault="00C15D5E" w:rsidP="00C15D5E">
      <w:pPr>
        <w:spacing w:before="120"/>
        <w:ind w:left="709" w:hanging="397"/>
        <w:jc w:val="both"/>
        <w:rPr>
          <w:rFonts w:ascii="Arial Narrow" w:hAnsi="Arial Narrow" w:cs="Arial"/>
          <w:sz w:val="22"/>
          <w:szCs w:val="22"/>
        </w:rPr>
      </w:pPr>
      <w:r w:rsidRPr="00E558D2">
        <w:rPr>
          <w:rFonts w:ascii="Arial Narrow" w:hAnsi="Arial Narrow" w:cs="Arial"/>
          <w:sz w:val="22"/>
          <w:szCs w:val="22"/>
        </w:rPr>
        <w:t xml:space="preserve">Védett feszület – </w:t>
      </w:r>
      <w:proofErr w:type="spellStart"/>
      <w:r w:rsidRPr="00E558D2">
        <w:rPr>
          <w:rFonts w:ascii="Arial Narrow" w:hAnsi="Arial Narrow" w:cs="Arial"/>
          <w:sz w:val="22"/>
          <w:szCs w:val="22"/>
        </w:rPr>
        <w:t>hrsz</w:t>
      </w:r>
      <w:proofErr w:type="spellEnd"/>
      <w:r w:rsidRPr="00E558D2">
        <w:rPr>
          <w:rFonts w:ascii="Arial Narrow" w:hAnsi="Arial Narrow" w:cs="Arial"/>
          <w:sz w:val="22"/>
          <w:szCs w:val="22"/>
        </w:rPr>
        <w:t xml:space="preserve"> 9612/3 – Bánáti és </w:t>
      </w:r>
      <w:proofErr w:type="spellStart"/>
      <w:r w:rsidRPr="00E558D2">
        <w:rPr>
          <w:rFonts w:ascii="Arial Narrow" w:hAnsi="Arial Narrow" w:cs="Arial"/>
          <w:sz w:val="22"/>
          <w:szCs w:val="22"/>
        </w:rPr>
        <w:t>Becskereki</w:t>
      </w:r>
      <w:proofErr w:type="spellEnd"/>
      <w:r w:rsidRPr="00E558D2">
        <w:rPr>
          <w:rFonts w:ascii="Arial Narrow" w:hAnsi="Arial Narrow" w:cs="Arial"/>
          <w:sz w:val="22"/>
          <w:szCs w:val="22"/>
        </w:rPr>
        <w:t xml:space="preserve"> utca találkozása</w:t>
      </w:r>
    </w:p>
    <w:p w:rsidR="00C15D5E" w:rsidRPr="00E558D2" w:rsidRDefault="00C15D5E" w:rsidP="00C15D5E">
      <w:pPr>
        <w:spacing w:before="120"/>
        <w:ind w:left="426" w:hanging="426"/>
        <w:jc w:val="right"/>
        <w:rPr>
          <w:rFonts w:ascii="Arial Narrow" w:hAnsi="Arial Narrow" w:cs="Arial"/>
          <w:sz w:val="22"/>
          <w:szCs w:val="22"/>
        </w:rPr>
      </w:pPr>
    </w:p>
    <w:p w:rsidR="00C15D5E" w:rsidRPr="00E558D2" w:rsidRDefault="00C15D5E" w:rsidP="00C15D5E">
      <w:pPr>
        <w:spacing w:before="120"/>
        <w:ind w:left="426" w:hanging="426"/>
        <w:rPr>
          <w:rFonts w:ascii="Arial Narrow" w:hAnsi="Arial Narrow" w:cs="Arial"/>
          <w:b/>
          <w:smallCaps/>
          <w:sz w:val="22"/>
          <w:szCs w:val="22"/>
        </w:rPr>
      </w:pPr>
      <w:r w:rsidRPr="00E558D2">
        <w:rPr>
          <w:rFonts w:ascii="Arial Narrow" w:hAnsi="Arial Narrow" w:cs="Arial"/>
          <w:b/>
          <w:smallCaps/>
          <w:sz w:val="22"/>
          <w:szCs w:val="22"/>
        </w:rPr>
        <w:t>2</w:t>
      </w:r>
      <w:proofErr w:type="gramStart"/>
      <w:r w:rsidRPr="00E558D2">
        <w:rPr>
          <w:rFonts w:ascii="Arial Narrow" w:hAnsi="Arial Narrow" w:cs="Arial"/>
          <w:b/>
          <w:smallCaps/>
          <w:sz w:val="22"/>
          <w:szCs w:val="22"/>
        </w:rPr>
        <w:t>.sz.</w:t>
      </w:r>
      <w:proofErr w:type="gramEnd"/>
      <w:r w:rsidRPr="00E558D2">
        <w:rPr>
          <w:rFonts w:ascii="Arial Narrow" w:hAnsi="Arial Narrow" w:cs="Arial"/>
          <w:b/>
          <w:smallCaps/>
          <w:sz w:val="22"/>
          <w:szCs w:val="22"/>
        </w:rPr>
        <w:t xml:space="preserve"> függelék a HÉSZ 24.§</w:t>
      </w:r>
      <w:proofErr w:type="spellStart"/>
      <w:r w:rsidRPr="00E558D2">
        <w:rPr>
          <w:rFonts w:ascii="Arial Narrow" w:hAnsi="Arial Narrow" w:cs="Arial"/>
          <w:b/>
          <w:smallCaps/>
          <w:sz w:val="22"/>
          <w:szCs w:val="22"/>
        </w:rPr>
        <w:t>-ához</w:t>
      </w:r>
      <w:proofErr w:type="spellEnd"/>
    </w:p>
    <w:p w:rsidR="00C15D5E" w:rsidRPr="00E558D2" w:rsidRDefault="00C15D5E" w:rsidP="00C15D5E">
      <w:pPr>
        <w:pStyle w:val="Szvegtrzs2"/>
        <w:spacing w:before="120" w:after="0" w:line="240" w:lineRule="auto"/>
        <w:rPr>
          <w:rFonts w:ascii="Arial Narrow" w:hAnsi="Arial Narrow" w:cs="Arial"/>
          <w:b/>
          <w:sz w:val="22"/>
          <w:szCs w:val="22"/>
        </w:rPr>
      </w:pPr>
    </w:p>
    <w:p w:rsidR="00C15D5E" w:rsidRPr="00E558D2" w:rsidRDefault="00C15D5E" w:rsidP="00C15D5E">
      <w:pPr>
        <w:pStyle w:val="Szvegtrzs2"/>
        <w:spacing w:before="120" w:after="0" w:line="240" w:lineRule="auto"/>
        <w:rPr>
          <w:rFonts w:ascii="Arial Narrow" w:hAnsi="Arial Narrow" w:cs="Arial"/>
          <w:b/>
          <w:sz w:val="22"/>
          <w:szCs w:val="22"/>
        </w:rPr>
      </w:pPr>
      <w:r w:rsidRPr="00E558D2">
        <w:rPr>
          <w:rFonts w:ascii="Arial Narrow" w:hAnsi="Arial Narrow" w:cs="Arial"/>
          <w:b/>
          <w:sz w:val="22"/>
          <w:szCs w:val="22"/>
        </w:rPr>
        <w:t>HELYI VÉDELEMRE TERVEZETT TERMÉSZETI TERÜLETEK:</w:t>
      </w:r>
    </w:p>
    <w:p w:rsidR="00C15D5E" w:rsidRPr="00E558D2" w:rsidRDefault="00C15D5E" w:rsidP="00C15D5E">
      <w:pPr>
        <w:spacing w:before="120"/>
        <w:ind w:left="709" w:hanging="397"/>
        <w:jc w:val="both"/>
        <w:rPr>
          <w:rFonts w:ascii="Arial Narrow" w:hAnsi="Arial Narrow" w:cs="Arial"/>
          <w:sz w:val="22"/>
          <w:szCs w:val="22"/>
        </w:rPr>
      </w:pPr>
      <w:r w:rsidRPr="00E558D2">
        <w:rPr>
          <w:rFonts w:ascii="Arial Narrow" w:hAnsi="Arial Narrow" w:cs="Arial"/>
          <w:sz w:val="22"/>
          <w:szCs w:val="22"/>
        </w:rPr>
        <w:t xml:space="preserve">Rácbánya, mint értékes </w:t>
      </w:r>
      <w:proofErr w:type="gramStart"/>
      <w:r w:rsidRPr="00E558D2">
        <w:rPr>
          <w:rFonts w:ascii="Arial Narrow" w:hAnsi="Arial Narrow" w:cs="Arial"/>
          <w:sz w:val="22"/>
          <w:szCs w:val="22"/>
        </w:rPr>
        <w:t>liget-rét társulás</w:t>
      </w:r>
      <w:proofErr w:type="gramEnd"/>
      <w:r w:rsidRPr="00E558D2">
        <w:rPr>
          <w:rFonts w:ascii="Arial Narrow" w:hAnsi="Arial Narrow" w:cs="Arial"/>
          <w:sz w:val="22"/>
          <w:szCs w:val="22"/>
        </w:rPr>
        <w:t>, v</w:t>
      </w:r>
      <w:r w:rsidRPr="00E558D2">
        <w:rPr>
          <w:rFonts w:ascii="Arial Narrow" w:hAnsi="Arial Narrow" w:cs="Arial"/>
          <w:sz w:val="22"/>
          <w:szCs w:val="22"/>
        </w:rPr>
        <w:t>é</w:t>
      </w:r>
      <w:r w:rsidRPr="00E558D2">
        <w:rPr>
          <w:rFonts w:ascii="Arial Narrow" w:hAnsi="Arial Narrow" w:cs="Arial"/>
          <w:sz w:val="22"/>
          <w:szCs w:val="22"/>
        </w:rPr>
        <w:t>dett gyeptársulások és állatfajok élőhelye</w:t>
      </w:r>
    </w:p>
    <w:p w:rsidR="00C15D5E" w:rsidRPr="00E558D2" w:rsidRDefault="00C15D5E" w:rsidP="00C15D5E">
      <w:pPr>
        <w:spacing w:before="120"/>
        <w:jc w:val="both"/>
        <w:rPr>
          <w:rFonts w:ascii="Arial Narrow" w:hAnsi="Arial Narrow" w:cs="Arial"/>
          <w:b/>
          <w:smallCaps/>
          <w:sz w:val="22"/>
          <w:szCs w:val="22"/>
        </w:rPr>
      </w:pPr>
    </w:p>
    <w:p w:rsidR="00C15D5E" w:rsidRPr="00E558D2" w:rsidRDefault="00C15D5E" w:rsidP="00C15D5E">
      <w:pPr>
        <w:spacing w:before="120"/>
        <w:rPr>
          <w:rFonts w:ascii="Arial Narrow" w:hAnsi="Arial Narrow" w:cs="Arial"/>
          <w:b/>
          <w:i/>
          <w:smallCaps/>
          <w:sz w:val="22"/>
          <w:szCs w:val="22"/>
        </w:rPr>
      </w:pPr>
      <w:r w:rsidRPr="00E558D2">
        <w:rPr>
          <w:rStyle w:val="Lbjegyzet-hivatkozs"/>
          <w:rFonts w:ascii="Arial Narrow" w:hAnsi="Arial Narrow" w:cs="Arial"/>
          <w:b/>
          <w:i/>
          <w:smallCaps/>
          <w:sz w:val="22"/>
          <w:szCs w:val="22"/>
        </w:rPr>
        <w:footnoteReference w:id="2"/>
      </w:r>
      <w:r w:rsidRPr="00E558D2">
        <w:rPr>
          <w:rFonts w:ascii="Arial Narrow" w:hAnsi="Arial Narrow" w:cs="Arial"/>
          <w:b/>
          <w:i/>
          <w:smallCaps/>
          <w:sz w:val="22"/>
          <w:szCs w:val="22"/>
        </w:rPr>
        <w:t>3</w:t>
      </w:r>
      <w:proofErr w:type="gramStart"/>
      <w:r w:rsidRPr="00E558D2">
        <w:rPr>
          <w:rFonts w:ascii="Arial Narrow" w:hAnsi="Arial Narrow" w:cs="Arial"/>
          <w:b/>
          <w:i/>
          <w:smallCaps/>
          <w:sz w:val="22"/>
          <w:szCs w:val="22"/>
        </w:rPr>
        <w:t>.sz.</w:t>
      </w:r>
      <w:proofErr w:type="gramEnd"/>
      <w:r w:rsidRPr="00E558D2">
        <w:rPr>
          <w:rFonts w:ascii="Arial Narrow" w:hAnsi="Arial Narrow" w:cs="Arial"/>
          <w:b/>
          <w:i/>
          <w:smallCaps/>
          <w:sz w:val="22"/>
          <w:szCs w:val="22"/>
        </w:rPr>
        <w:t xml:space="preserve"> függelék</w:t>
      </w:r>
    </w:p>
    <w:p w:rsidR="00E86D6B" w:rsidRDefault="00C15D5E">
      <w:bookmarkStart w:id="0" w:name="_GoBack"/>
      <w:bookmarkEnd w:id="0"/>
    </w:p>
    <w:sectPr w:rsidR="00E86D6B" w:rsidSect="00054946">
      <w:headerReference w:type="default" r:id="rId8"/>
      <w:footnotePr>
        <w:numStart w:val="4"/>
      </w:footnotePr>
      <w:pgSz w:w="11907" w:h="16840" w:code="9"/>
      <w:pgMar w:top="1191" w:right="1418" w:bottom="1191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5D5E" w:rsidRDefault="00C15D5E" w:rsidP="00C15D5E">
      <w:r>
        <w:separator/>
      </w:r>
    </w:p>
  </w:endnote>
  <w:endnote w:type="continuationSeparator" w:id="0">
    <w:p w:rsidR="00C15D5E" w:rsidRDefault="00C15D5E" w:rsidP="00C15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5D5E" w:rsidRDefault="00C15D5E" w:rsidP="00C15D5E">
      <w:r>
        <w:separator/>
      </w:r>
    </w:p>
  </w:footnote>
  <w:footnote w:type="continuationSeparator" w:id="0">
    <w:p w:rsidR="00C15D5E" w:rsidRDefault="00C15D5E" w:rsidP="00C15D5E">
      <w:r>
        <w:continuationSeparator/>
      </w:r>
    </w:p>
  </w:footnote>
  <w:footnote w:id="1">
    <w:p w:rsidR="00C15D5E" w:rsidRDefault="00C15D5E" w:rsidP="00C15D5E">
      <w:pPr>
        <w:pStyle w:val="Lbjegyzetszveg"/>
      </w:pPr>
      <w:r>
        <w:rPr>
          <w:rStyle w:val="Lbjegyzet-hivatkozs"/>
        </w:rPr>
        <w:footnoteRef/>
      </w:r>
      <w:r>
        <w:t xml:space="preserve"> Beiktatta</w:t>
      </w:r>
      <w:r w:rsidRPr="002E0E38">
        <w:t xml:space="preserve"> az </w:t>
      </w:r>
      <w:r w:rsidRPr="002E0E38">
        <w:rPr>
          <w:rFonts w:cs="Arial"/>
          <w:bCs/>
          <w:iCs/>
        </w:rPr>
        <w:t>57/2013.</w:t>
      </w:r>
      <w:r>
        <w:rPr>
          <w:rFonts w:cs="Arial"/>
          <w:bCs/>
          <w:iCs/>
        </w:rPr>
        <w:t xml:space="preserve">(XII.13.) sz. </w:t>
      </w:r>
      <w:proofErr w:type="spellStart"/>
      <w:r>
        <w:rPr>
          <w:rFonts w:cs="Arial"/>
          <w:bCs/>
          <w:iCs/>
        </w:rPr>
        <w:t>önkorm</w:t>
      </w:r>
      <w:proofErr w:type="spellEnd"/>
      <w:r>
        <w:rPr>
          <w:rFonts w:cs="Arial"/>
          <w:bCs/>
          <w:iCs/>
        </w:rPr>
        <w:t>. rendelet 24</w:t>
      </w:r>
      <w:r w:rsidRPr="002E0E38">
        <w:rPr>
          <w:rFonts w:cs="Arial"/>
          <w:bCs/>
          <w:iCs/>
        </w:rPr>
        <w:t>.§-</w:t>
      </w:r>
      <w:proofErr w:type="gramStart"/>
      <w:r w:rsidRPr="002E0E38">
        <w:rPr>
          <w:rFonts w:cs="Arial"/>
          <w:bCs/>
          <w:iCs/>
        </w:rPr>
        <w:t>a</w:t>
      </w:r>
      <w:r w:rsidRPr="002E0E38">
        <w:t>.</w:t>
      </w:r>
      <w:proofErr w:type="gramEnd"/>
      <w:r w:rsidRPr="002E0E38">
        <w:t xml:space="preserve"> Hatályos</w:t>
      </w:r>
      <w:r w:rsidRPr="002E0E38">
        <w:rPr>
          <w:b/>
        </w:rPr>
        <w:t xml:space="preserve"> 2014. 01. 12</w:t>
      </w:r>
      <w:r w:rsidRPr="002E0E38">
        <w:t>-től, rendelkezéseit a hatálybalépést követően indult elj</w:t>
      </w:r>
      <w:r w:rsidRPr="002E0E38">
        <w:t>á</w:t>
      </w:r>
      <w:r w:rsidRPr="002E0E38">
        <w:t>rásokban kell alkalmazni</w:t>
      </w:r>
      <w:r>
        <w:t>.</w:t>
      </w:r>
    </w:p>
  </w:footnote>
  <w:footnote w:id="2">
    <w:p w:rsidR="00C15D5E" w:rsidRDefault="00C15D5E" w:rsidP="00C15D5E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9D19AF">
        <w:t xml:space="preserve">Hatályon kívül helyezte az </w:t>
      </w:r>
      <w:r w:rsidRPr="009D19AF">
        <w:rPr>
          <w:rFonts w:cs="Arial"/>
          <w:bCs/>
          <w:iCs/>
        </w:rPr>
        <w:t xml:space="preserve">57/2013.(XII.13.) sz. </w:t>
      </w:r>
      <w:proofErr w:type="spellStart"/>
      <w:r w:rsidRPr="009D19AF">
        <w:rPr>
          <w:rFonts w:cs="Arial"/>
          <w:bCs/>
          <w:iCs/>
        </w:rPr>
        <w:t>önkorm</w:t>
      </w:r>
      <w:proofErr w:type="spellEnd"/>
      <w:r w:rsidRPr="009D19AF">
        <w:rPr>
          <w:rFonts w:cs="Arial"/>
          <w:bCs/>
          <w:iCs/>
        </w:rPr>
        <w:t>. rendelet</w:t>
      </w:r>
      <w:r>
        <w:t xml:space="preserve"> 25.§ (1</w:t>
      </w:r>
      <w:r w:rsidRPr="009D19AF">
        <w:t xml:space="preserve">) bekezdése </w:t>
      </w:r>
      <w:r w:rsidRPr="009D19AF">
        <w:rPr>
          <w:b/>
        </w:rPr>
        <w:t>2014. 01. 12</w:t>
      </w:r>
      <w:r w:rsidRPr="009D19AF">
        <w:t>-től.</w:t>
      </w:r>
    </w:p>
    <w:p w:rsidR="00C15D5E" w:rsidRDefault="00C15D5E" w:rsidP="00C15D5E">
      <w:pPr>
        <w:pStyle w:val="Lbjegyzetszveg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0248" w:rsidRPr="00EA4451" w:rsidRDefault="00C15D5E" w:rsidP="00EA4451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A0777"/>
    <w:multiLevelType w:val="hybridMultilevel"/>
    <w:tmpl w:val="56E4D9E2"/>
    <w:lvl w:ilvl="0" w:tplc="38E056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numStart w:val="4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0DA"/>
    <w:rsid w:val="00100B34"/>
    <w:rsid w:val="005550DA"/>
    <w:rsid w:val="008F66FD"/>
    <w:rsid w:val="00B7791B"/>
    <w:rsid w:val="00C15D5E"/>
    <w:rsid w:val="00C73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15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aliases w:val="normal"/>
    <w:basedOn w:val="Norml"/>
    <w:link w:val="lfejChar"/>
    <w:rsid w:val="00C15D5E"/>
    <w:pPr>
      <w:tabs>
        <w:tab w:val="center" w:pos="4536"/>
        <w:tab w:val="right" w:pos="9072"/>
      </w:tabs>
      <w:jc w:val="both"/>
    </w:pPr>
    <w:rPr>
      <w:rFonts w:ascii="Arial" w:hAnsi="Arial"/>
      <w:sz w:val="22"/>
    </w:rPr>
  </w:style>
  <w:style w:type="character" w:customStyle="1" w:styleId="lfejChar">
    <w:name w:val="Élőfej Char"/>
    <w:basedOn w:val="Bekezdsalapbettpusa"/>
    <w:link w:val="lfej"/>
    <w:rsid w:val="00C15D5E"/>
    <w:rPr>
      <w:rFonts w:ascii="Arial" w:eastAsia="Times New Roman" w:hAnsi="Arial" w:cs="Times New Roman"/>
      <w:szCs w:val="20"/>
      <w:lang w:eastAsia="hu-HU"/>
    </w:rPr>
  </w:style>
  <w:style w:type="paragraph" w:styleId="Szvegtrzs2">
    <w:name w:val="Body Text 2"/>
    <w:basedOn w:val="Norml"/>
    <w:link w:val="Szvegtrzs2Char"/>
    <w:rsid w:val="00C15D5E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rsid w:val="00C15D5E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bjegyzetszveg">
    <w:name w:val="footnote text"/>
    <w:basedOn w:val="Norml"/>
    <w:link w:val="LbjegyzetszvegChar"/>
    <w:autoRedefine/>
    <w:semiHidden/>
    <w:rsid w:val="00C15D5E"/>
    <w:pPr>
      <w:jc w:val="both"/>
    </w:pPr>
    <w:rPr>
      <w:rFonts w:ascii="Arial Narrow" w:hAnsi="Arial Narrow"/>
      <w:i/>
      <w:sz w:val="18"/>
      <w:szCs w:val="18"/>
    </w:rPr>
  </w:style>
  <w:style w:type="character" w:customStyle="1" w:styleId="LbjegyzetszvegChar">
    <w:name w:val="Lábjegyzetszöveg Char"/>
    <w:basedOn w:val="Bekezdsalapbettpusa"/>
    <w:link w:val="Lbjegyzetszveg"/>
    <w:semiHidden/>
    <w:rsid w:val="00C15D5E"/>
    <w:rPr>
      <w:rFonts w:ascii="Arial Narrow" w:eastAsia="Times New Roman" w:hAnsi="Arial Narrow" w:cs="Times New Roman"/>
      <w:i/>
      <w:sz w:val="18"/>
      <w:szCs w:val="18"/>
      <w:lang w:eastAsia="hu-HU"/>
    </w:rPr>
  </w:style>
  <w:style w:type="character" w:styleId="Lbjegyzet-hivatkozs">
    <w:name w:val="footnote reference"/>
    <w:rsid w:val="00C15D5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15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aliases w:val="normal"/>
    <w:basedOn w:val="Norml"/>
    <w:link w:val="lfejChar"/>
    <w:rsid w:val="00C15D5E"/>
    <w:pPr>
      <w:tabs>
        <w:tab w:val="center" w:pos="4536"/>
        <w:tab w:val="right" w:pos="9072"/>
      </w:tabs>
      <w:jc w:val="both"/>
    </w:pPr>
    <w:rPr>
      <w:rFonts w:ascii="Arial" w:hAnsi="Arial"/>
      <w:sz w:val="22"/>
    </w:rPr>
  </w:style>
  <w:style w:type="character" w:customStyle="1" w:styleId="lfejChar">
    <w:name w:val="Élőfej Char"/>
    <w:basedOn w:val="Bekezdsalapbettpusa"/>
    <w:link w:val="lfej"/>
    <w:rsid w:val="00C15D5E"/>
    <w:rPr>
      <w:rFonts w:ascii="Arial" w:eastAsia="Times New Roman" w:hAnsi="Arial" w:cs="Times New Roman"/>
      <w:szCs w:val="20"/>
      <w:lang w:eastAsia="hu-HU"/>
    </w:rPr>
  </w:style>
  <w:style w:type="paragraph" w:styleId="Szvegtrzs2">
    <w:name w:val="Body Text 2"/>
    <w:basedOn w:val="Norml"/>
    <w:link w:val="Szvegtrzs2Char"/>
    <w:rsid w:val="00C15D5E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rsid w:val="00C15D5E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bjegyzetszveg">
    <w:name w:val="footnote text"/>
    <w:basedOn w:val="Norml"/>
    <w:link w:val="LbjegyzetszvegChar"/>
    <w:autoRedefine/>
    <w:semiHidden/>
    <w:rsid w:val="00C15D5E"/>
    <w:pPr>
      <w:jc w:val="both"/>
    </w:pPr>
    <w:rPr>
      <w:rFonts w:ascii="Arial Narrow" w:hAnsi="Arial Narrow"/>
      <w:i/>
      <w:sz w:val="18"/>
      <w:szCs w:val="18"/>
    </w:rPr>
  </w:style>
  <w:style w:type="character" w:customStyle="1" w:styleId="LbjegyzetszvegChar">
    <w:name w:val="Lábjegyzetszöveg Char"/>
    <w:basedOn w:val="Bekezdsalapbettpusa"/>
    <w:link w:val="Lbjegyzetszveg"/>
    <w:semiHidden/>
    <w:rsid w:val="00C15D5E"/>
    <w:rPr>
      <w:rFonts w:ascii="Arial Narrow" w:eastAsia="Times New Roman" w:hAnsi="Arial Narrow" w:cs="Times New Roman"/>
      <w:i/>
      <w:sz w:val="18"/>
      <w:szCs w:val="18"/>
      <w:lang w:eastAsia="hu-HU"/>
    </w:rPr>
  </w:style>
  <w:style w:type="character" w:styleId="Lbjegyzet-hivatkozs">
    <w:name w:val="footnote reference"/>
    <w:rsid w:val="00C15D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SZFVAR MJV PMHIV</Company>
  <LinksUpToDate>false</LinksUpToDate>
  <CharactersWithSpaces>2846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Katalin Farkas</dc:creator>
  <cp:lastModifiedBy>Katalin Farkas</cp:lastModifiedBy>
  <cp:revision>3</cp:revision>
  <dcterms:created xsi:type="dcterms:W3CDTF">2015-08-10T13:27:00Z</dcterms:created>
  <dcterms:modified xsi:type="dcterms:W3CDTF">2015-08-10T13:30:00Z</dcterms:modified>
</cp:coreProperties>
</file>