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287" w:rsidRPr="00B60287" w:rsidRDefault="00B60287" w:rsidP="00B60287">
      <w:pPr>
        <w:jc w:val="right"/>
        <w:rPr>
          <w:rFonts w:ascii="Cambria" w:hAnsi="Cambria"/>
          <w:lang w:val="de-DE"/>
        </w:rPr>
      </w:pPr>
      <w:r w:rsidRPr="00B60287">
        <w:rPr>
          <w:szCs w:val="22"/>
        </w:rPr>
        <w:t>A</w:t>
      </w:r>
      <w:r w:rsidRPr="00B60287">
        <w:rPr>
          <w:rFonts w:ascii="Cambria" w:hAnsi="Cambria"/>
          <w:lang w:val="de-DE"/>
        </w:rPr>
        <w:t xml:space="preserve"> </w:t>
      </w:r>
      <w:r w:rsidRPr="00B60287">
        <w:rPr>
          <w:rFonts w:ascii="Cambria" w:hAnsi="Cambria"/>
        </w:rPr>
        <w:t>6/2014. (XII.08.)</w:t>
      </w:r>
      <w:r w:rsidRPr="00B60287">
        <w:rPr>
          <w:rFonts w:ascii="Cambria" w:hAnsi="Cambria"/>
          <w:lang w:val="de-DE"/>
        </w:rPr>
        <w:t xml:space="preserve"> önkormányzati rendelet</w:t>
      </w:r>
    </w:p>
    <w:p w:rsidR="00B60287" w:rsidRPr="00B60287" w:rsidRDefault="00B60287" w:rsidP="00B60287">
      <w:pPr>
        <w:ind w:left="6480" w:right="-1" w:firstLine="720"/>
        <w:rPr>
          <w:rFonts w:ascii="Cambria" w:hAnsi="Cambria"/>
          <w:lang w:val="de-DE"/>
        </w:rPr>
      </w:pPr>
      <w:r w:rsidRPr="00B60287">
        <w:rPr>
          <w:rFonts w:ascii="Cambria" w:hAnsi="Cambria"/>
          <w:lang w:val="de-DE"/>
        </w:rPr>
        <w:t xml:space="preserve">4.melléklete </w:t>
      </w:r>
      <w:r>
        <w:rPr>
          <w:rFonts w:ascii="Cambria" w:hAnsi="Cambria"/>
          <w:vertAlign w:val="superscript"/>
          <w:lang w:val="de-DE"/>
        </w:rPr>
        <w:t>159</w:t>
      </w:r>
    </w:p>
    <w:p w:rsidR="00B60287" w:rsidRPr="00B60287" w:rsidRDefault="00B60287" w:rsidP="00B60287">
      <w:pPr>
        <w:spacing w:before="120"/>
        <w:jc w:val="center"/>
        <w:rPr>
          <w:rFonts w:eastAsia="Calibri"/>
          <w:b/>
          <w:szCs w:val="22"/>
        </w:rPr>
      </w:pPr>
      <w:r w:rsidRPr="00B60287">
        <w:rPr>
          <w:rFonts w:eastAsia="Calibri"/>
          <w:b/>
          <w:szCs w:val="22"/>
        </w:rPr>
        <w:t>Helyi védelem</w:t>
      </w:r>
    </w:p>
    <w:p w:rsidR="00B60287" w:rsidRPr="00B60287" w:rsidRDefault="00B60287" w:rsidP="00B60287">
      <w:pPr>
        <w:rPr>
          <w:rFonts w:eastAsia="Calibri"/>
          <w:szCs w:val="22"/>
        </w:rPr>
      </w:pPr>
    </w:p>
    <w:p w:rsidR="00B60287" w:rsidRPr="00B60287" w:rsidRDefault="00B60287" w:rsidP="00B60287">
      <w:pPr>
        <w:ind w:left="567" w:hanging="567"/>
        <w:rPr>
          <w:rFonts w:eastAsia="Calibri"/>
          <w:szCs w:val="22"/>
        </w:rPr>
      </w:pPr>
      <w:r w:rsidRPr="00B60287">
        <w:rPr>
          <w:rFonts w:eastAsia="Calibri"/>
          <w:szCs w:val="22"/>
        </w:rPr>
        <w:t>1.</w:t>
      </w:r>
      <w:r w:rsidRPr="00B60287">
        <w:rPr>
          <w:rFonts w:eastAsia="Calibri"/>
          <w:szCs w:val="22"/>
        </w:rPr>
        <w:tab/>
        <w:t>Balatonakarattya helyi értékvédelmi területei:</w:t>
      </w:r>
    </w:p>
    <w:p w:rsidR="00B60287" w:rsidRPr="00B60287" w:rsidRDefault="00B60287" w:rsidP="00B60287">
      <w:pPr>
        <w:ind w:left="993" w:hanging="426"/>
        <w:rPr>
          <w:rFonts w:eastAsia="Calibri"/>
          <w:szCs w:val="22"/>
        </w:rPr>
      </w:pPr>
      <w:r w:rsidRPr="00B60287">
        <w:rPr>
          <w:rFonts w:eastAsia="Calibri"/>
          <w:szCs w:val="22"/>
        </w:rPr>
        <w:t>1.1.</w:t>
      </w:r>
      <w:r w:rsidRPr="00B60287">
        <w:rPr>
          <w:rFonts w:eastAsia="Calibri"/>
          <w:szCs w:val="22"/>
        </w:rPr>
        <w:tab/>
        <w:t>Balatonakarattya ősi településrész:</w:t>
      </w:r>
    </w:p>
    <w:p w:rsidR="00B60287" w:rsidRPr="00B60287" w:rsidRDefault="00B60287" w:rsidP="00B60287">
      <w:pPr>
        <w:ind w:left="992"/>
        <w:rPr>
          <w:rFonts w:eastAsia="Calibri"/>
          <w:szCs w:val="22"/>
        </w:rPr>
      </w:pPr>
      <w:r w:rsidRPr="00B60287">
        <w:rPr>
          <w:rFonts w:eastAsia="Calibri"/>
          <w:szCs w:val="22"/>
        </w:rPr>
        <w:t>Deák Ferenc utca - Vasút - Kisfaludi sétány - Késmárk utca - Rákóczi út - 2556 hrsz. utca - Árpád út - Hosszúmező utca - külterület - 1984/23 hrsz-ú terület - 1984/3 hrsz-ú telek - Gyóni Géza utca által határolt terület —kivéve az Esze Tamás utca, Attila utca, Mátyás Király utca és a Rákóczi u. által határolt területet—. (11, 12, 13, 14. szelvény)</w:t>
      </w:r>
    </w:p>
    <w:p w:rsidR="00B60287" w:rsidRPr="00B60287" w:rsidRDefault="00B60287" w:rsidP="00B60287">
      <w:pPr>
        <w:ind w:left="993" w:hanging="426"/>
        <w:rPr>
          <w:rFonts w:eastAsia="Calibri"/>
          <w:szCs w:val="22"/>
        </w:rPr>
      </w:pPr>
      <w:r w:rsidRPr="00B60287">
        <w:rPr>
          <w:rFonts w:eastAsia="Calibri"/>
          <w:szCs w:val="22"/>
        </w:rPr>
        <w:t>1.2.</w:t>
      </w:r>
      <w:r w:rsidRPr="00B60287">
        <w:rPr>
          <w:rFonts w:eastAsia="Calibri"/>
          <w:szCs w:val="22"/>
        </w:rPr>
        <w:tab/>
        <w:t>Balatonakarattya ősi, karakteres településrészei:</w:t>
      </w:r>
    </w:p>
    <w:p w:rsidR="00B60287" w:rsidRPr="00B60287" w:rsidRDefault="00B60287" w:rsidP="00B60287">
      <w:pPr>
        <w:ind w:left="1701" w:hanging="708"/>
        <w:rPr>
          <w:rFonts w:eastAsia="Calibri"/>
          <w:szCs w:val="22"/>
        </w:rPr>
      </w:pPr>
      <w:r w:rsidRPr="00B60287">
        <w:rPr>
          <w:rFonts w:eastAsia="Calibri"/>
          <w:szCs w:val="22"/>
        </w:rPr>
        <w:t>1.2.2.</w:t>
      </w:r>
      <w:r w:rsidRPr="00B60287">
        <w:rPr>
          <w:rFonts w:eastAsia="Calibri"/>
          <w:szCs w:val="22"/>
        </w:rPr>
        <w:tab/>
        <w:t>A sajátos kolóniás karakterű Somogyi Béla, Nagykúti és Kossuth Lajos utcák tömbjei a szabályozási terven jelölt határokkal.</w:t>
      </w:r>
    </w:p>
    <w:p w:rsidR="00B60287" w:rsidRPr="00B60287" w:rsidRDefault="00B60287" w:rsidP="00B60287">
      <w:pPr>
        <w:ind w:left="567" w:hanging="567"/>
        <w:rPr>
          <w:rFonts w:eastAsia="Calibri"/>
          <w:szCs w:val="22"/>
        </w:rPr>
      </w:pPr>
      <w:r w:rsidRPr="00B60287">
        <w:rPr>
          <w:rFonts w:eastAsia="Calibri"/>
          <w:szCs w:val="22"/>
        </w:rPr>
        <w:t>2.</w:t>
      </w:r>
      <w:r w:rsidRPr="00B60287">
        <w:rPr>
          <w:rFonts w:eastAsia="Calibri"/>
          <w:szCs w:val="22"/>
        </w:rPr>
        <w:tab/>
        <w:t>Balatonakarattya helyi védelemre javasolt épületei:</w:t>
      </w:r>
    </w:p>
    <w:p w:rsidR="00B60287" w:rsidRPr="00B60287" w:rsidRDefault="00B60287" w:rsidP="00B60287">
      <w:pPr>
        <w:ind w:left="993" w:hanging="426"/>
        <w:rPr>
          <w:rFonts w:eastAsia="Calibri"/>
          <w:szCs w:val="22"/>
        </w:rPr>
      </w:pPr>
      <w:r w:rsidRPr="00B60287">
        <w:rPr>
          <w:rFonts w:eastAsia="Calibri"/>
          <w:szCs w:val="22"/>
        </w:rPr>
        <w:t>2.1.</w:t>
      </w:r>
      <w:r w:rsidRPr="00B60287">
        <w:rPr>
          <w:rFonts w:eastAsia="Calibri"/>
          <w:szCs w:val="22"/>
        </w:rPr>
        <w:tab/>
        <w:t>Köztársaság u. 8. (2788/1 hrsz), tervező: Thoroczkai Wigand Ede (14. szelvény)</w:t>
      </w:r>
    </w:p>
    <w:p w:rsidR="00B60287" w:rsidRPr="00B60287" w:rsidRDefault="00B60287" w:rsidP="00B60287">
      <w:pPr>
        <w:ind w:left="993" w:hanging="426"/>
        <w:rPr>
          <w:rFonts w:eastAsia="Calibri"/>
          <w:szCs w:val="22"/>
        </w:rPr>
      </w:pPr>
      <w:r w:rsidRPr="00B60287">
        <w:rPr>
          <w:rFonts w:eastAsia="Calibri"/>
          <w:szCs w:val="22"/>
        </w:rPr>
        <w:t>2.2.</w:t>
      </w:r>
      <w:r w:rsidRPr="00B60287">
        <w:rPr>
          <w:rFonts w:eastAsia="Calibri"/>
          <w:szCs w:val="22"/>
        </w:rPr>
        <w:tab/>
        <w:t>Állomás tér trafóház</w:t>
      </w:r>
    </w:p>
    <w:p w:rsidR="00B60287" w:rsidRPr="00B60287" w:rsidRDefault="00B60287" w:rsidP="00B60287">
      <w:pPr>
        <w:ind w:left="567" w:hanging="567"/>
        <w:rPr>
          <w:rFonts w:eastAsia="Calibri"/>
          <w:szCs w:val="22"/>
        </w:rPr>
      </w:pPr>
      <w:r w:rsidRPr="00B60287">
        <w:rPr>
          <w:rFonts w:eastAsia="Calibri"/>
          <w:szCs w:val="22"/>
        </w:rPr>
        <w:t>3.</w:t>
      </w:r>
      <w:r w:rsidRPr="00B60287">
        <w:rPr>
          <w:rFonts w:eastAsia="Calibri"/>
          <w:szCs w:val="22"/>
        </w:rPr>
        <w:tab/>
        <w:t>Balatonakarattya helyi táj- és természetvédelmi területei</w:t>
      </w:r>
    </w:p>
    <w:p w:rsidR="00B60287" w:rsidRPr="00B60287" w:rsidRDefault="00B60287" w:rsidP="00B60287">
      <w:pPr>
        <w:ind w:left="993" w:hanging="426"/>
        <w:rPr>
          <w:rFonts w:eastAsia="Calibri"/>
          <w:szCs w:val="22"/>
        </w:rPr>
      </w:pPr>
      <w:r w:rsidRPr="00B60287">
        <w:rPr>
          <w:rFonts w:eastAsia="Calibri"/>
          <w:szCs w:val="22"/>
        </w:rPr>
        <w:t>3.1.</w:t>
      </w:r>
      <w:r w:rsidRPr="00B60287">
        <w:rPr>
          <w:rFonts w:eastAsia="Calibri"/>
          <w:szCs w:val="22"/>
        </w:rPr>
        <w:tab/>
        <w:t>Belterület</w:t>
      </w:r>
    </w:p>
    <w:p w:rsidR="00B60287" w:rsidRPr="00B60287" w:rsidRDefault="00B60287" w:rsidP="00B60287">
      <w:pPr>
        <w:ind w:left="1701" w:hanging="708"/>
        <w:rPr>
          <w:rFonts w:eastAsia="Calibri"/>
          <w:szCs w:val="22"/>
        </w:rPr>
      </w:pPr>
      <w:r w:rsidRPr="00B60287">
        <w:rPr>
          <w:rFonts w:eastAsia="Calibri"/>
          <w:szCs w:val="22"/>
        </w:rPr>
        <w:t>3.1.1.</w:t>
      </w:r>
      <w:r w:rsidRPr="00B60287">
        <w:rPr>
          <w:rFonts w:eastAsia="Calibri"/>
          <w:szCs w:val="22"/>
        </w:rPr>
        <w:tab/>
        <w:t>Balatonakarattya Honvéd üdülő parkja (3633 hrsz) (11-13 szelvény)</w:t>
      </w:r>
    </w:p>
    <w:p w:rsidR="00B60287" w:rsidRPr="00B60287" w:rsidRDefault="00B60287" w:rsidP="00B60287">
      <w:pPr>
        <w:ind w:left="1701" w:hanging="708"/>
        <w:rPr>
          <w:rFonts w:eastAsia="Calibri"/>
          <w:szCs w:val="22"/>
        </w:rPr>
      </w:pPr>
      <w:r w:rsidRPr="00B60287">
        <w:rPr>
          <w:rFonts w:eastAsia="Calibri"/>
          <w:szCs w:val="22"/>
        </w:rPr>
        <w:t>3.1.2.</w:t>
      </w:r>
      <w:r w:rsidRPr="00B60287">
        <w:rPr>
          <w:rFonts w:eastAsia="Calibri"/>
          <w:szCs w:val="22"/>
        </w:rPr>
        <w:tab/>
        <w:t>Balatonakarattya Rákóczi park (2774 hrsz) (14. szelvény)</w:t>
      </w:r>
    </w:p>
    <w:p w:rsidR="00B60287" w:rsidRPr="00B60287" w:rsidRDefault="00B60287" w:rsidP="00B60287">
      <w:pPr>
        <w:ind w:left="1701" w:hanging="708"/>
        <w:jc w:val="both"/>
        <w:rPr>
          <w:rFonts w:eastAsia="Calibri"/>
          <w:szCs w:val="22"/>
        </w:rPr>
      </w:pPr>
      <w:r w:rsidRPr="00B60287">
        <w:rPr>
          <w:rFonts w:eastAsia="Calibri"/>
          <w:szCs w:val="22"/>
        </w:rPr>
        <w:t>3.1.3.</w:t>
      </w:r>
      <w:r w:rsidRPr="00B60287">
        <w:rPr>
          <w:rFonts w:eastAsia="Calibri"/>
          <w:szCs w:val="22"/>
        </w:rPr>
        <w:tab/>
        <w:t>Balatonakarattya Kisfaludi sétány és Csittény hegy (13-14-16. szelvény) hrsz.: 2696/115, 2701, 2734, 2747, 2865.</w:t>
      </w:r>
    </w:p>
    <w:p w:rsidR="00B60287" w:rsidRPr="00B60287" w:rsidRDefault="00B60287" w:rsidP="00B60287">
      <w:pPr>
        <w:ind w:left="1701" w:hanging="708"/>
        <w:rPr>
          <w:rFonts w:eastAsia="Calibri"/>
          <w:szCs w:val="22"/>
        </w:rPr>
      </w:pPr>
      <w:r w:rsidRPr="00B60287">
        <w:rPr>
          <w:rFonts w:eastAsia="Calibri"/>
          <w:szCs w:val="22"/>
        </w:rPr>
        <w:t>3.1.4.</w:t>
      </w:r>
      <w:r w:rsidRPr="00B60287">
        <w:rPr>
          <w:rFonts w:eastAsia="Calibri"/>
          <w:szCs w:val="22"/>
        </w:rPr>
        <w:tab/>
        <w:t>Árpád u. 142. Finály Tamás örökzöld gyűjtemény. (2527 hrsz) (11. szelvény)”</w:t>
      </w:r>
    </w:p>
    <w:p w:rsidR="00B60287" w:rsidRDefault="00B60287" w:rsidP="00B60287">
      <w:pPr>
        <w:rPr>
          <w:szCs w:val="22"/>
        </w:rPr>
      </w:pPr>
    </w:p>
    <w:p w:rsidR="00B60287" w:rsidRPr="00B60287" w:rsidRDefault="00B60287" w:rsidP="00B60287">
      <w:pPr>
        <w:rPr>
          <w:szCs w:val="22"/>
        </w:rPr>
      </w:pPr>
    </w:p>
    <w:p w:rsidR="00B60287" w:rsidRPr="00B60287" w:rsidRDefault="00B60287" w:rsidP="00B60287">
      <w:pPr>
        <w:rPr>
          <w:szCs w:val="22"/>
        </w:rPr>
      </w:pPr>
    </w:p>
    <w:p w:rsidR="00B60287" w:rsidRPr="00B60287" w:rsidRDefault="00B60287" w:rsidP="00B60287">
      <w:pPr>
        <w:rPr>
          <w:szCs w:val="22"/>
        </w:rPr>
      </w:pPr>
    </w:p>
    <w:p w:rsidR="00B60287" w:rsidRPr="00B60287" w:rsidRDefault="00B60287" w:rsidP="00B60287">
      <w:pPr>
        <w:rPr>
          <w:szCs w:val="22"/>
        </w:rPr>
      </w:pPr>
    </w:p>
    <w:p w:rsidR="00B60287" w:rsidRPr="00B60287" w:rsidRDefault="00B60287" w:rsidP="00B60287">
      <w:pPr>
        <w:rPr>
          <w:szCs w:val="22"/>
        </w:rPr>
      </w:pPr>
    </w:p>
    <w:p w:rsidR="00B60287" w:rsidRPr="00B60287" w:rsidRDefault="00B60287" w:rsidP="00B60287">
      <w:pPr>
        <w:rPr>
          <w:szCs w:val="22"/>
        </w:rPr>
      </w:pPr>
    </w:p>
    <w:p w:rsidR="00B60287" w:rsidRPr="00B60287" w:rsidRDefault="00B60287" w:rsidP="00B60287">
      <w:pPr>
        <w:rPr>
          <w:szCs w:val="22"/>
        </w:rPr>
      </w:pPr>
    </w:p>
    <w:p w:rsidR="00B60287" w:rsidRPr="00B60287" w:rsidRDefault="00B60287" w:rsidP="00B60287">
      <w:pPr>
        <w:rPr>
          <w:szCs w:val="22"/>
        </w:rPr>
      </w:pPr>
    </w:p>
    <w:p w:rsidR="00B60287" w:rsidRPr="00B60287" w:rsidRDefault="00B60287" w:rsidP="00B60287">
      <w:pPr>
        <w:rPr>
          <w:szCs w:val="22"/>
        </w:rPr>
      </w:pPr>
    </w:p>
    <w:p w:rsidR="00B60287" w:rsidRPr="00B60287" w:rsidRDefault="00B60287" w:rsidP="00B60287">
      <w:pPr>
        <w:rPr>
          <w:szCs w:val="22"/>
        </w:rPr>
      </w:pPr>
    </w:p>
    <w:p w:rsidR="00B60287" w:rsidRPr="00B60287" w:rsidRDefault="00B60287" w:rsidP="00B60287">
      <w:pPr>
        <w:rPr>
          <w:szCs w:val="22"/>
        </w:rPr>
      </w:pPr>
    </w:p>
    <w:p w:rsidR="00B60287" w:rsidRPr="00B60287" w:rsidRDefault="00B60287" w:rsidP="00B60287">
      <w:pPr>
        <w:rPr>
          <w:szCs w:val="22"/>
        </w:rPr>
      </w:pPr>
    </w:p>
    <w:p w:rsidR="00B60287" w:rsidRDefault="00B60287" w:rsidP="00B60287">
      <w:pPr>
        <w:rPr>
          <w:szCs w:val="22"/>
        </w:rPr>
      </w:pPr>
    </w:p>
    <w:p w:rsidR="00B60287" w:rsidRDefault="00B60287" w:rsidP="00B60287">
      <w:pPr>
        <w:rPr>
          <w:szCs w:val="22"/>
        </w:rPr>
      </w:pPr>
    </w:p>
    <w:p w:rsidR="00B60287" w:rsidRDefault="00B60287" w:rsidP="00B60287">
      <w:pPr>
        <w:tabs>
          <w:tab w:val="left" w:pos="2055"/>
        </w:tabs>
        <w:rPr>
          <w:szCs w:val="22"/>
        </w:rPr>
      </w:pPr>
      <w:r>
        <w:rPr>
          <w:szCs w:val="22"/>
        </w:rPr>
        <w:tab/>
      </w:r>
    </w:p>
    <w:p w:rsidR="00B60287" w:rsidRDefault="00B60287" w:rsidP="00B60287">
      <w:pPr>
        <w:tabs>
          <w:tab w:val="left" w:pos="2055"/>
        </w:tabs>
        <w:rPr>
          <w:szCs w:val="22"/>
        </w:rPr>
      </w:pPr>
    </w:p>
    <w:p w:rsidR="00B60287" w:rsidRDefault="00B60287" w:rsidP="00B60287">
      <w:pPr>
        <w:tabs>
          <w:tab w:val="left" w:pos="2055"/>
        </w:tabs>
        <w:rPr>
          <w:szCs w:val="22"/>
        </w:rPr>
      </w:pPr>
    </w:p>
    <w:p w:rsidR="00B60287" w:rsidRDefault="00B60287" w:rsidP="00B60287">
      <w:pPr>
        <w:tabs>
          <w:tab w:val="left" w:pos="2055"/>
        </w:tabs>
        <w:rPr>
          <w:szCs w:val="22"/>
        </w:rPr>
      </w:pPr>
    </w:p>
    <w:p w:rsidR="00B60287" w:rsidRDefault="00B60287" w:rsidP="00B60287">
      <w:pPr>
        <w:tabs>
          <w:tab w:val="left" w:pos="2055"/>
        </w:tabs>
        <w:rPr>
          <w:szCs w:val="22"/>
        </w:rPr>
      </w:pPr>
    </w:p>
    <w:p w:rsidR="00B60287" w:rsidRDefault="00B60287" w:rsidP="00B60287">
      <w:pPr>
        <w:tabs>
          <w:tab w:val="left" w:pos="2055"/>
        </w:tabs>
        <w:rPr>
          <w:szCs w:val="22"/>
        </w:rPr>
      </w:pPr>
    </w:p>
    <w:p w:rsidR="00B60287" w:rsidRDefault="00B60287" w:rsidP="00B60287">
      <w:pPr>
        <w:tabs>
          <w:tab w:val="left" w:pos="2055"/>
        </w:tabs>
        <w:rPr>
          <w:szCs w:val="22"/>
        </w:rPr>
      </w:pPr>
    </w:p>
    <w:p w:rsidR="00B60287" w:rsidRDefault="00B60287" w:rsidP="00B60287">
      <w:pPr>
        <w:tabs>
          <w:tab w:val="left" w:pos="2055"/>
        </w:tabs>
        <w:rPr>
          <w:szCs w:val="22"/>
        </w:rPr>
      </w:pPr>
    </w:p>
    <w:p w:rsidR="00B60287" w:rsidRDefault="00B60287" w:rsidP="00B60287">
      <w:pPr>
        <w:tabs>
          <w:tab w:val="left" w:pos="2055"/>
        </w:tabs>
        <w:rPr>
          <w:szCs w:val="22"/>
        </w:rPr>
      </w:pPr>
      <w:r>
        <w:rPr>
          <w:szCs w:val="22"/>
        </w:rPr>
        <w:t>________________________</w:t>
      </w:r>
      <w:bookmarkStart w:id="0" w:name="_GoBack"/>
      <w:bookmarkEnd w:id="0"/>
    </w:p>
    <w:p w:rsidR="00B60287" w:rsidRDefault="00B60287" w:rsidP="00B60287">
      <w:pPr>
        <w:pStyle w:val="Lbjegyzetszveg"/>
      </w:pPr>
      <w:r>
        <w:rPr>
          <w:rStyle w:val="Lbjegyzet-hivatkozs"/>
        </w:rPr>
        <w:t>159</w:t>
      </w:r>
      <w:r>
        <w:t xml:space="preserve"> módosította a 11/2016. (IX.30.) önkormányzati rendelet</w:t>
      </w:r>
    </w:p>
    <w:sectPr w:rsidR="00B60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30A" w:rsidRDefault="00C4130A" w:rsidP="00064287">
      <w:r>
        <w:separator/>
      </w:r>
    </w:p>
  </w:endnote>
  <w:endnote w:type="continuationSeparator" w:id="0">
    <w:p w:rsidR="00C4130A" w:rsidRDefault="00C4130A" w:rsidP="0006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30A" w:rsidRDefault="00C4130A" w:rsidP="00064287">
      <w:r>
        <w:separator/>
      </w:r>
    </w:p>
  </w:footnote>
  <w:footnote w:type="continuationSeparator" w:id="0">
    <w:p w:rsidR="00C4130A" w:rsidRDefault="00C4130A" w:rsidP="00064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23D71"/>
    <w:multiLevelType w:val="multilevel"/>
    <w:tmpl w:val="9DDEB61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4"/>
        </w:tabs>
        <w:ind w:left="23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4"/>
        </w:tabs>
        <w:ind w:left="2364" w:hanging="1800"/>
      </w:pPr>
      <w:rPr>
        <w:rFonts w:hint="default"/>
      </w:rPr>
    </w:lvl>
  </w:abstractNum>
  <w:abstractNum w:abstractNumId="1" w15:restartNumberingAfterBreak="0">
    <w:nsid w:val="2C5E5336"/>
    <w:multiLevelType w:val="multilevel"/>
    <w:tmpl w:val="FB5C9E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87"/>
    <w:rsid w:val="00064287"/>
    <w:rsid w:val="00B30018"/>
    <w:rsid w:val="00B60287"/>
    <w:rsid w:val="00C4130A"/>
    <w:rsid w:val="00DD09F3"/>
    <w:rsid w:val="00E3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4C047-157F-4A27-9178-6824F31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064287"/>
    <w:pPr>
      <w:jc w:val="both"/>
    </w:pPr>
    <w:rPr>
      <w:sz w:val="20"/>
      <w:szCs w:val="20"/>
      <w:lang w:val="hu-HU" w:eastAsia="hu-HU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basedOn w:val="Bekezdsalapbettpusa"/>
    <w:link w:val="Lbjegyzetszveg"/>
    <w:rsid w:val="000642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6428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6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dcterms:created xsi:type="dcterms:W3CDTF">2016-10-03T13:33:00Z</dcterms:created>
  <dcterms:modified xsi:type="dcterms:W3CDTF">2016-10-03T13:33:00Z</dcterms:modified>
</cp:coreProperties>
</file>