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A74" w:rsidRPr="00AE2A74" w:rsidRDefault="00AE2A74" w:rsidP="00AE2A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E2A74">
        <w:rPr>
          <w:rFonts w:ascii="Times New Roman" w:eastAsia="Calibri" w:hAnsi="Times New Roman" w:cs="Times New Roman"/>
          <w:b/>
          <w:sz w:val="24"/>
          <w:szCs w:val="24"/>
        </w:rPr>
        <w:t>A helyi rendelet megalkotását a jogalkotásról szóló 2010. évi CXXX. törvény</w:t>
      </w:r>
    </w:p>
    <w:p w:rsidR="00AE2A74" w:rsidRPr="00AE2A74" w:rsidRDefault="00AE2A74" w:rsidP="00AE2A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2A74">
        <w:rPr>
          <w:rFonts w:ascii="Times New Roman" w:eastAsia="Calibri" w:hAnsi="Times New Roman" w:cs="Times New Roman"/>
          <w:b/>
          <w:sz w:val="24"/>
          <w:szCs w:val="24"/>
        </w:rPr>
        <w:t>18. §-ában foglaltaknak megfelelően eljárva az alábbiak szerint indokolom</w:t>
      </w:r>
    </w:p>
    <w:p w:rsidR="00AE2A74" w:rsidRPr="00AE2A74" w:rsidRDefault="00AE2A74" w:rsidP="00AE2A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E2A74" w:rsidRPr="00AE2A74" w:rsidRDefault="00AE2A74" w:rsidP="00AE2A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2A74">
        <w:rPr>
          <w:rFonts w:ascii="Times New Roman" w:hAnsi="Times New Roman" w:cs="Times New Roman"/>
          <w:b/>
          <w:sz w:val="32"/>
          <w:szCs w:val="32"/>
        </w:rPr>
        <w:t>Általános indokolás</w:t>
      </w:r>
    </w:p>
    <w:p w:rsidR="00AE2A74" w:rsidRDefault="00AE2A74" w:rsidP="00AE2A74">
      <w:pPr>
        <w:spacing w:after="12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x-none"/>
        </w:rPr>
      </w:pP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Az Államháztartási törvény (Áht) módosított 91 §) alapján a helyi önkormányzat költségvetésének végrehajtására vonatkozó zárszámadási rendelet tervezetét a jegyző készíti elő és a polgármester terjeszti a képviselő-testület elé úgy, hogy az a képviselő-testület elé terjesztését követő harminc napon belül, de legkésőbb a költségvetési évet követő ötödik hónap utolsó napjáig hatályba lépjen. A beszámolási kötelezettség elemeit a 4/2013. (I.11.) az államháztartás számviteléről szóló kormányrendelet tartalmazza. </w:t>
      </w:r>
    </w:p>
    <w:p w:rsidR="00AE2A74" w:rsidRPr="00AE2A74" w:rsidRDefault="00AE2A74" w:rsidP="00AE2A74">
      <w:pPr>
        <w:spacing w:after="0"/>
        <w:jc w:val="both"/>
        <w:rPr>
          <w:rFonts w:ascii="Times New Roman" w:eastAsia="Times New Roman" w:hAnsi="Times New Roman" w:cs="Times New Roman"/>
          <w:lang w:eastAsia="x-none"/>
        </w:rPr>
      </w:pPr>
      <w:r w:rsidRPr="00AE2A74">
        <w:rPr>
          <w:rFonts w:ascii="Times New Roman" w:eastAsia="Times New Roman" w:hAnsi="Times New Roman" w:cs="Times New Roman"/>
          <w:lang w:eastAsia="x-none"/>
        </w:rPr>
        <w:t>A 85/2020. (IV.5.) Korm. rendelet, valamint a Magyarország 2020.évi központi költségvetésének a vészhelyzettel összefüggő eltérő szabályairól szóló 92/2020. (IV.6.) Korm. rendelet módosításáról szóló 230/2020. (v.25.) Kormányrendelet 1§-a szerint a vészhelyzet során alkalmazandó egyes belügyi és közigazgatási tárgyú szabályokról szóló 85/2020.(IV.25.) Korm. rendelet 17.§ (3) bekezdése helyébe 2020.május 26-i hatállyal a következő rendelkezés lépett: „ (3) Ha a helyi önkormányzat nem rendelkezik a 2019.évre vonatkozó elfogadott és hatályos zárszámadási rendelettel, akkor a zárszámadási rendeletet úgy kell a helyi önkormányzatnak  elfogadnia, hogy az legkésőbb a vészhelyzet megszűnését követő 30. napon hatályba lépjen.”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Ennek a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jogszabályi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kötelezettségnek teszünk eleget a 201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évi gazdálkodásról szóló beszámoló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elkészítésével.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A beszámolót a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polgármester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azonban csak akkor fogadhatja el, ha az Államkincstár az Önkormányzat beszámolóját pénzügyileg jóváhagyta. Ez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a jóváhagyás 2020.04.29-én megtörtént.</w:t>
      </w:r>
    </w:p>
    <w:p w:rsidR="00AE2A74" w:rsidRDefault="00AE2A74" w:rsidP="00AE2A74">
      <w:pPr>
        <w:spacing w:after="12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x-none"/>
        </w:rPr>
      </w:pPr>
    </w:p>
    <w:p w:rsidR="00AE2A74" w:rsidRPr="00AE2A74" w:rsidRDefault="00AE2A74" w:rsidP="00AE2A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2A74">
        <w:rPr>
          <w:rFonts w:ascii="Times New Roman" w:hAnsi="Times New Roman" w:cs="Times New Roman"/>
          <w:b/>
          <w:sz w:val="32"/>
          <w:szCs w:val="32"/>
        </w:rPr>
        <w:t>Részletes indokolás</w:t>
      </w:r>
    </w:p>
    <w:p w:rsidR="00AE2A74" w:rsidRDefault="00AE2A74" w:rsidP="00AE2A74">
      <w:pPr>
        <w:spacing w:after="12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x-none"/>
        </w:rPr>
      </w:pPr>
    </w:p>
    <w:p w:rsidR="00AE2A74" w:rsidRDefault="00AE2A74" w:rsidP="00AE2A74">
      <w:pPr>
        <w:spacing w:after="12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x-none"/>
        </w:rPr>
      </w:pPr>
    </w:p>
    <w:p w:rsidR="00AE2A74" w:rsidRPr="00AE2A74" w:rsidRDefault="00AE2A74" w:rsidP="00AE2A74">
      <w:pPr>
        <w:spacing w:after="12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x-none"/>
        </w:rPr>
      </w:pPr>
      <w:r w:rsidRPr="00AE2A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  <w:t>I. Az önkormányzati feladatellátás általános értékelése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Csopak Község Önkormányzatának Képviselő-testülete a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z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x-none"/>
        </w:rPr>
        <w:t>5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>/201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>.(II.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x-none"/>
        </w:rPr>
        <w:t>11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>.)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rendeletével alkotta meg az Önkormányzat 201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. évi költségvetését 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x-none"/>
        </w:rPr>
        <w:t>990.368.078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 xml:space="preserve"> Ft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kiadási és bevételi főösszeggel. 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Csopak Község Önkormányzata 201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 évben is kiegyensúlyozott gazdálkodást folytatott. A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bevételek teljesítése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201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.12.31-én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1.024.305.552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Ft-tal, a kiadások egyenlege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1.007.156.623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Ft-tal zárt. Az Önkormányzat 201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.évi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költségvetési 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maradványa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17.148.929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Ft.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Ez a maradvány 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nem tartalmazza a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PRÉMIUM Magyar Államkötvény értékpapírra fordított 99.710.000.- Ft-ot,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amelyet az OTP Nyrt-től vásároltunk.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bevételek és a kiadások a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fő költségvetési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előirányzatokon belül alakultak az önkormányzati feladatok teljesítése mellett. Ez a megállapítás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vonatkozik mind 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kötelező, min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d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az önként vállalt önkormányzati feladatokra is.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Az Önkormányzat folyamatosan finanszírozta intézményei működését, határidőben fizette azok és saját számláit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. A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z előkészített beruházás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ok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forráshiány miatt nem maradtak el. Sem fejlesztési célú, sem működési célú hitel felvételére nem került sor.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lastRenderedPageBreak/>
        <w:t>201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. év folyamán a kiadások és bevételek változásai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, az ASP-rendszer sajátosságai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(nehézségei)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miatt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ötször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került sor a költségvetési rendelet módosítására, melynek eredményeképpen a módosított kiadási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előirányzat 1.046.770.077 Ft-ra, a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bevételi előirányzat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1.050.453.835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Ft-ra változott.</w:t>
      </w:r>
    </w:p>
    <w:p w:rsidR="00AE2A74" w:rsidRPr="00AE2A74" w:rsidRDefault="00AE2A74" w:rsidP="00AE2A74">
      <w:pPr>
        <w:spacing w:after="240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x-none"/>
        </w:rPr>
      </w:pPr>
      <w:r w:rsidRPr="00AE2A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x-none"/>
        </w:rPr>
        <w:t>A 201</w:t>
      </w:r>
      <w:r w:rsidRPr="00AE2A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x-none"/>
        </w:rPr>
        <w:t xml:space="preserve">. évi eredeti költségvetésben </w:t>
      </w:r>
      <w:r w:rsidRPr="00AE2A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175.601.093</w:t>
      </w:r>
      <w:r w:rsidRPr="00AE2A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x-none"/>
        </w:rPr>
        <w:t xml:space="preserve"> Ft összegű általános tartalék, valamint </w:t>
      </w:r>
      <w:r w:rsidRPr="00AE2A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1.500.000</w:t>
      </w:r>
      <w:r w:rsidRPr="00AE2A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x-none"/>
        </w:rPr>
        <w:t xml:space="preserve"> Ft céltartalék került betervezésre. Az általános tartalék az előre nem látható feladatok finanszírozására került elkülönítésre. Az évközi módosítások következtében az általános tartalék előirányzata </w:t>
      </w:r>
      <w:r w:rsidRPr="00AE2A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955.628</w:t>
      </w:r>
      <w:r w:rsidRPr="00AE2A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x-none"/>
        </w:rPr>
        <w:t xml:space="preserve"> Ft-ra </w:t>
      </w:r>
      <w:r w:rsidRPr="00AE2A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csökkent, a céltartalék összege 2.728.130 Ft-ra emelkedett.</w:t>
      </w:r>
    </w:p>
    <w:p w:rsidR="00AE2A74" w:rsidRPr="00AE2A74" w:rsidRDefault="00AE2A74" w:rsidP="00AE2A74">
      <w:pPr>
        <w:spacing w:after="12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</w:pPr>
      <w:r w:rsidRPr="00AE2A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  <w:t>II. Az Önkormányzat</w:t>
      </w:r>
      <w:r w:rsidRPr="00AE2A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x-none"/>
        </w:rPr>
        <w:t xml:space="preserve"> és intézményei</w:t>
      </w:r>
      <w:r w:rsidRPr="00AE2A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  <w:t xml:space="preserve"> bevételi forrásai és azok teljesítése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 xml:space="preserve">Önkormányzatunk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közhatalmi bevételei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301.000.000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Ft eredeti előirányzattal szemben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315.332.079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Ft-ra,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104,7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%-on teljesültek. Itt kerülnek elszámolásra a helyi adók, pótlékok, bírságok, átengedett központi adók,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közhatalmi bevételek,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különböző egyéb bírságok. Az építményadó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bevételei 98%-on,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a telekadó bevételei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100%-on teljesültek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a módosított előirányzatra vetítve. Az idegenforgalmi adóbevételekből idén az eredeti előirányzathoz képest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1.803.930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Ft-tal több realizálódott.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Az iparűzési adó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81.144.582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Ft-ra teljesült, ez az eredeti előirányzat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111,1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%-a. Évek óta nagy figyelmet fordítunk az adófegyelem növelésére, az az adóellenőrzésekre, melynek eredményeként minden évben csökken az adókintlévőség összege. (Összehasonlításul: 201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8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.évben a közhatalmi bevételekből befolyt összeg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300.743.670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Ft volt.)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A 201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. évi saját működési bevétel 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%-ra teljesült a módosított előirányzathoz, de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117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%-ra az eredeti előirányzathoz képest Az Önkormányzat saját bevétele az előző évhez képest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34.905.408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Ft-tal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növekedett, mert nagyon kedvező időjárás volt 2019-ben.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A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z apartmanból származó bevételek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azonban 104%-kal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meghaladták az eredetileg betervezett összegeket.</w:t>
      </w:r>
    </w:p>
    <w:p w:rsidR="00AE2A74" w:rsidRPr="00AE2A74" w:rsidRDefault="00AE2A74" w:rsidP="00AE2A7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Mind az Önkormányzat, mind az Óvoda központi tényleges támogatása meghaladta az eredeti előirányzat összegét 4.104.824 Ft-tal, illetve 2.718.789 Ft-tal. Az egyéb központi működési támogatások között számoltuk el a Közös Hivatal dolgozóinak 2019.évi bérrendezését 6.346.000 Ft értékben, a közérdekű védekezésre kapott 1.587.350 Ft összeget, valamint a Virágos Magyarország elismeréseként kapott 500.000 Ft-os jutalmat.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Működési célú támogatásokként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(ÁH-n belülről) 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került elszámolásra az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NEAK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-t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ó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l kapott támogatás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(26.434.600 Ft)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Paloznak Község Önkormányzata által fizetett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működési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hozzájárulás a Közös Hivatal és az Óvod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a működtetéséhez (13.416.000 Ft), valamint a Bethlen pályázatra kapott 750.000 Ft összege. 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Az államháztartáson kívülről érkezett működési célú átvett pénzeszközként többek között a MÁV-tól, Waclaw Felczak Alapítványtól és a DRV Zrt-től (támogatás elszámolása) összesen 2.646.213 Ft. A működési célú támogatások visszatérülése soron a Csopak-Info Nonprofit Kft-től 5.000.000 Ft-os tagi kölcsön visszafizetése szerepel 5 millió Ft értékben.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Ingatlanból és tárgyi eszköz értékesítéséből 2019-ben 2.004.558 Ft bevétel keletkezett. A felhalmozási célú államháztartáson belüli támogatások között a „Magyar Falu program” és a BM pályázat keretében megvalósuló beruházásokhoz, felújításokhoz érkezett 40.145.167 Ft szerepel. 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A lakásvásárlásra, felújításra nyújtott kölcsönök visszatérülése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idén 103.480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Ft volt. A felhalmozási bevételek a módosított előirányzatokhoz képest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98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%-on teljesültek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. A finanszírozási bevételekhez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lastRenderedPageBreak/>
        <w:t>tartozik az előző évi költségvetési maradvány felhasználása és a megelőlegezés folyósítása, amelyek 100%-ra teljesültek.</w:t>
      </w:r>
    </w:p>
    <w:p w:rsidR="00AE2A74" w:rsidRPr="00AE2A74" w:rsidRDefault="00AE2A74" w:rsidP="00AE2A74">
      <w:pPr>
        <w:spacing w:after="24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Fejlesztési célú hitel-felvételre nem került sor.</w:t>
      </w:r>
    </w:p>
    <w:p w:rsidR="00AE2A74" w:rsidRPr="00AE2A74" w:rsidRDefault="00AE2A74" w:rsidP="00AE2A74">
      <w:pPr>
        <w:spacing w:before="120" w:after="24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A 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>Mandulavirág Óvoda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x-none"/>
        </w:rPr>
        <w:t xml:space="preserve"> és Konyha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intézményi saját bevétele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82.011.207 Ft-on, 98%-on teljesült.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Ez főként az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étkeztetésből adódik. Az intézmény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tavaly átadott új főzőkonyhájában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készült adagok száma 201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-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b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e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n jelentősen növekedett mind a gyermek, mind a szociális ellátás keretében étkezők, mind pedig a vendég étkezők terén.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Az Óvoda finanszírozására az Önkormányzat 2019-ben103.953.737 Ft-ot költött. (Ez a finanszírozás 2018-ban 79.188.608 Ft volt.)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A 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>Közös Önkormányzati Hivatal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saját bevétele 201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-b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e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n csupán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9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Ft volt, mert a Hivatalnál felmerülő közhatalmi bevételek az Önkormányzatot illetik.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A Hivatalnál szerepel a 2019.évi EU parlamenti választások, valamint a 2019.évi helyhatósági választások működéséhez kapott 2.723.948 Ft is működési támogatás.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A Közös Hivatal finanszírozására az Önkormányzat 201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-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b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e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n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108.048.000 Ft-ot költött. (Ez az összeg 2018-ban 102.615.615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Ft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volt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.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)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</w:p>
    <w:p w:rsidR="00AE2A74" w:rsidRPr="00AE2A74" w:rsidRDefault="00AE2A74" w:rsidP="00AE2A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x-none" w:eastAsia="x-none"/>
        </w:rPr>
      </w:pPr>
      <w:r w:rsidRPr="00AE2A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  <w:t xml:space="preserve">III. Az Önkormányzat </w:t>
      </w:r>
      <w:r w:rsidRPr="00AE2A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x-none"/>
        </w:rPr>
        <w:t xml:space="preserve">és intézményei </w:t>
      </w:r>
      <w:r w:rsidRPr="00AE2A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  <w:t>kiadásai és azok teljesítése</w:t>
      </w:r>
      <w:r w:rsidRPr="00AE2A74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x-none" w:eastAsia="x-none"/>
        </w:rPr>
        <w:t>: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Az Önkormányzat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összevont, konszolidált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201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. kiadásai a módosított előirányzathoz képest 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6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%-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on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, azaz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1.007.156.623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Ft-ra teljesültek, tehát költségmegtakarítás keletkezett.</w:t>
      </w:r>
    </w:p>
    <w:p w:rsidR="00AE2A74" w:rsidRPr="00AE2A74" w:rsidRDefault="00AE2A74" w:rsidP="00AE2A74">
      <w:pPr>
        <w:spacing w:before="120" w:after="12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Az Önkormányzat intézményi működési kiadásai 97%-on, azaz 506.247.371 Ft- értékben teljesültek.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Az Önkormányzat intézményi személyi juttatás teljesítése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166.596.999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Ft volt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, ez 96%-os teljesítés.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A munkaadót terhelő járulékok teljesítése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31.964.465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Ft, ami 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%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-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os teljesítés a módosított előirányzatra vetítve. A költségtakarékos gazdálkodásnak köszönhetően a dologi kiadások összege 201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.évben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307.685.907 Ft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-on realizálódott, ami a módosított előirányzat 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5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%-a. Az intézmény működési kiadásaihoz tartozik még a költségvetésben előírt bruttó elszámolásból adódó, ún. megelőleg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e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zés visszafizetése,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ami 18.500.781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Ft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.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Támogatásértékű működési kiadást jelentett a térségi orvosi ügyelethez, gyermekjóléti szolgálat feladataihoz és a házi-segítségnyújtáshoz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a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Társulás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részére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adott támogatás. Ez 201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. évben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3.014.047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Ft-ot tett ki.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Az elszámolásból adódó kifizetés soron a DRV Zrt-vel kapcsolatos elszámolás összege, valamint a 2018.év végi normatíva lemondásból származó fizetési kötelezettség szerepel.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201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. évben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28.005.260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Ft összeg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et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biztosított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a Képviselő-testület egyéb szervezetek támogatására.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Ez az eredeti előirányzat közel 100 %-a.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A támogatásban részesült szervezeteket a 4. és a 10. mellékletben részleteztük. A működési célú pénzeszköz átadásához könyveltük a Csopak-Info Nonprofit Kft. részére adott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2.057.400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Ft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-os végleges pénzeszköz átadást,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amely összeget a Társaság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nak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vissza nem kell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fizetnie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az alapító Önkormányzat részére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.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</w:p>
    <w:p w:rsidR="00AE2A74" w:rsidRPr="00AE2A74" w:rsidRDefault="00AE2A74" w:rsidP="00AE2A74">
      <w:pPr>
        <w:spacing w:after="12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A társadalom és szociálpolitikai juttatások, támogatásoknál a módosított előirányzat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15.500.000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Ft volt, ami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14.176.310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Ft-on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, 99%-on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realizálódott. Ekkora összegű települési támogatásokkal és szociálpolitikai juttatásokkal segítette az Önkormányzat a településen élők mindennapjait.</w:t>
      </w:r>
    </w:p>
    <w:p w:rsidR="00AE2A74" w:rsidRPr="00AE2A74" w:rsidRDefault="00AE2A74" w:rsidP="00AE2A74">
      <w:pPr>
        <w:spacing w:after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E2A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Vállalkozói és Idegenforgalmi Alapból pályázott vállalkozások és szobakiadók számára 4.491.808 Ft, illetve 168.725 Ft vissza nem térítendő, fejlesztési célú támogatást tudtunk 2019-ban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adni. Örvendetes, hogy a pályázók száma egyre növekszik, azonban a pályázati feltételeket és felhívásokat 2020-ban módosítanunk, illetve pontosítanunk kell! </w:t>
      </w:r>
    </w:p>
    <w:p w:rsidR="00AE2A74" w:rsidRPr="00AE2A74" w:rsidRDefault="00AE2A74" w:rsidP="00AE2A74">
      <w:pPr>
        <w:spacing w:after="12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A 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>Mandulavirág Óvoda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kiadásait óvoda és konyha bontásban az 5. melléklet tartalmazza. Összességében a kiadási előirányzat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97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%-on teljesült a módosított előirányzatra vetítve. Ezen belül a személyi kiadások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az Óvodánál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és járulékok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94, illetve 90 %-on, a konyhánál 109, illetve 108%-on. A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dologi kiadások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97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%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-on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(óvodai nevelés), illetve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96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%-on (konyha) teljesültek.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A beruházások (gépek vásárlása) és a felújítások a főzőkonyha, a melegítőkonyha és az óvodai csoportszobák komfortosabbá tételét szolgálták.</w:t>
      </w:r>
    </w:p>
    <w:p w:rsidR="00AE2A74" w:rsidRPr="00AE2A74" w:rsidRDefault="00AE2A74" w:rsidP="00AE2A74">
      <w:pPr>
        <w:spacing w:after="24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A 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>Közös Önkormányzati Hivatal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kiadásai a 6. mellékletben található, a kiadások összességében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94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%-on realizálódtak, ami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jelentős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költségmegtakarítást eredményezett. A működési kiadásokon belül a személyi kiadások és a járulékok kiadásai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94, illetve 90%-on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-on, a dologi kiadások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95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%-on, a beruházási kiadások (kisértékű eszközbeszerzések) pedig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99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%-on teljesültek.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>Felhalmozási kiadások</w:t>
      </w:r>
      <w:r w:rsidRPr="00AE2A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x-none" w:eastAsia="x-none"/>
        </w:rPr>
        <w:t>:</w:t>
      </w:r>
    </w:p>
    <w:p w:rsidR="00AE2A74" w:rsidRPr="00AE2A74" w:rsidRDefault="00AE2A74" w:rsidP="00AE2A74">
      <w:pPr>
        <w:spacing w:after="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Az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Ö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nkormányzat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, az Óvoda és a Hivatal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költségvetéséből teljesített összes felhalmozási célú kiadás bruttó értéke 201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.évben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135.070.327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Ft.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Ez a módosított előirányzat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94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%-a. (8. sz. melléklet, 5.sz. melléklet , 6.sz. melléklet). Ezen belül a beruházások bruttó értéke 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x-none"/>
        </w:rPr>
        <w:t>104.746.916</w:t>
      </w: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Ft, a f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elújítások bruttó értéke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30.323.411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Ft.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(lsd 8.sz. melléklet)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A tervezett beruházások közül nem valósul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t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meg a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az okos pad beszerzése, az iskolai vizesblokk felújítása, a ravatalozó felújításának befejezése.)</w:t>
      </w:r>
    </w:p>
    <w:p w:rsidR="00AE2A74" w:rsidRPr="00AE2A74" w:rsidRDefault="00AE2A74" w:rsidP="00AE2A74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AE2A74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IV. Eredmény és Maradvány elszámolása</w:t>
      </w:r>
    </w:p>
    <w:p w:rsidR="00AE2A74" w:rsidRPr="00AE2A74" w:rsidRDefault="00AE2A74" w:rsidP="00AE2A74">
      <w:pPr>
        <w:spacing w:after="240"/>
        <w:jc w:val="both"/>
        <w:outlineLvl w:val="1"/>
        <w:rPr>
          <w:rFonts w:ascii="Times New Roman" w:eastAsia="Times New Roman" w:hAnsi="Times New Roman" w:cs="Times New Roman"/>
          <w:lang w:val="x-none" w:eastAsia="x-none"/>
        </w:rPr>
      </w:pPr>
      <w:r w:rsidRPr="00AE2A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4/2013. (I.11) Kormányrendelet alapjaiban változtatta meg az önkormányzatok számviteli elszámolását. A költségvetési számvitel és a kötelezettség-nyilvántartás mellé egy vállalkozási szemléletű könyvelést is kell végeznünk. Ezért mind költségvetési, mind pénzforgalmi szemléletben el kell helyeznünk a felmerült gazdasági eseményeket a főkönyvi számlákon. Megszűnt a pénzmaradvány fogalma, helyébe a maradvány és eredmény fogalmak léptek. A mellékletekben </w:t>
      </w:r>
      <w:r w:rsidRPr="00AE2A74">
        <w:rPr>
          <w:rFonts w:ascii="Times New Roman" w:eastAsia="Times New Roman" w:hAnsi="Times New Roman" w:cs="Times New Roman"/>
          <w:lang w:val="x-none" w:eastAsia="x-none"/>
        </w:rPr>
        <w:t>a 13. sz. mutatja a maradvány és az eredmény alakulását az Önkormányzatnál, az Óvodánál és a Közös Hivatalnál.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AE2A74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>V. Értékpapír- és hitelműveletek alakulása</w:t>
      </w:r>
    </w:p>
    <w:p w:rsidR="00AE2A74" w:rsidRPr="00AE2A74" w:rsidRDefault="00AE2A74" w:rsidP="00AE2A74">
      <w:pPr>
        <w:spacing w:after="60"/>
        <w:jc w:val="both"/>
        <w:outlineLvl w:val="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x-none" w:eastAsia="x-none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Csopak Község Önkormányzata 201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9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. év folyamán nem tervezett felhalmozási célú hitelt, s tényleges hitel felvétel sem történt. Önkormányzatunk a szabadon lévő pénzeszközeit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már 2017-ben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hosszú távú értékpapírokba fektette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( névérték: 99.710.000 Ft) 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a számlavezető pénzintézetnél (OTP Nyrt), amely értékpapírokat a pénzintézet állami garanciával bármikor visszavásárol kamatveszteség nélkül.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2019. júniusában véget ért a vásárolt értékpapírok 2. kamatperiódusa, s a kereskedelmi bank az Önkormányzatnak 4.636.646 Ft kamatot fizetett ki.</w:t>
      </w:r>
    </w:p>
    <w:p w:rsidR="00AE2A74" w:rsidRPr="00AE2A74" w:rsidRDefault="00AE2A74" w:rsidP="00AE2A74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lang w:eastAsia="hu-HU"/>
        </w:rPr>
        <w:sectPr w:rsidR="00AE2A74" w:rsidRPr="00AE2A74" w:rsidSect="00191EAB">
          <w:footerReference w:type="default" r:id="rId5"/>
          <w:pgSz w:w="11906" w:h="16838"/>
          <w:pgMar w:top="993" w:right="1134" w:bottom="1843" w:left="1134" w:header="709" w:footer="709" w:gutter="0"/>
          <w:cols w:space="708"/>
          <w:docGrid w:linePitch="360"/>
        </w:sectPr>
      </w:pPr>
    </w:p>
    <w:tbl>
      <w:tblPr>
        <w:tblpPr w:leftFromText="141" w:rightFromText="141" w:vertAnchor="text" w:horzAnchor="margin" w:tblpY="-1013"/>
        <w:tblW w:w="156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4026"/>
        <w:gridCol w:w="1445"/>
        <w:gridCol w:w="1559"/>
        <w:gridCol w:w="310"/>
        <w:gridCol w:w="4510"/>
        <w:gridCol w:w="1617"/>
        <w:gridCol w:w="1643"/>
      </w:tblGrid>
      <w:tr w:rsidR="00AE2A74" w:rsidRPr="00AE2A74" w:rsidTr="00D73382">
        <w:trPr>
          <w:trHeight w:val="145"/>
        </w:trPr>
        <w:tc>
          <w:tcPr>
            <w:tcW w:w="156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  <w:lastRenderedPageBreak/>
              <w:t>VI: A Vagyon alakulása                                                  ÖNKORMÁNYZAT ÖSSZEVONT MÉRLEGE                                                          (Ft)</w:t>
            </w:r>
          </w:p>
        </w:tc>
      </w:tr>
      <w:tr w:rsidR="00AE2A74" w:rsidRPr="00AE2A74" w:rsidTr="00D73382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  <w:t>A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  <w:t>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  <w:t>C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  <w:t>D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  <w:t xml:space="preserve">E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  <w:t>F</w:t>
            </w:r>
          </w:p>
        </w:tc>
      </w:tr>
      <w:tr w:rsidR="00AE2A74" w:rsidRPr="00AE2A74" w:rsidTr="00D73382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  <w:t>ESZKÖZÖK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  <w:t>FORRÁSOK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hu-HU"/>
              </w:rPr>
              <w:t> </w:t>
            </w:r>
          </w:p>
        </w:tc>
      </w:tr>
      <w:tr w:rsidR="00AE2A74" w:rsidRPr="00AE2A74" w:rsidTr="00D7338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1.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Megnevezés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Előző év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Tárgyév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Megnevezés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Előző év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Tárgyév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2.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Vagyoni értékű jogok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2 013 802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1 986 583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 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3.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Szellemi termékek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17 991 845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13 633.303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Nemzeti vagyon induláskori értéke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3 408 881 727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3 569 865 905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4.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Ingatlanok és kapcs.vagyoni ért. jogok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 xml:space="preserve">3 137 198 078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3 160 842 344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Egyéb eszközök induláskori értéke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 xml:space="preserve">160 984 178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160 984 178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5.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Gépek, berend., felsz., járművek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46 325 147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47 300 164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Felhalmozott eredmény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- 454 916 523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- 408 314 259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6.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Egyéb járművek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Mérleg szerinti eredmény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 xml:space="preserve">46 602 264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258 737 213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7.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Beruházások, felújítások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46 654 524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49 045447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Saját tőke összesen: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 xml:space="preserve">3 161 551 646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3 420 288 859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8.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Tárgyi eszk., immateriális javak összesen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3 230 177 749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3 257 187 955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Költségvetési tartalék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9.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Egyéb tartós részesedések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Költségvetési pénzmaradvány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10.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Tartósan adott kölcsön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Tartalékok összesen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0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11.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Befektetett pénzügyi eszk.össz: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4 040 000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8 84 0000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Beruházási és fejlesztési hitel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12.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Üzemeltetésre átadott eszk.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Egyéb hosszúlejáratú kötelezettségek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13.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Befektetett eszközök összesen: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3 254 223 396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3 281 647 841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Hosszú lejáratú kötelezettségek összesen: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0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14.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Készletek: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1 074 331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5 826 731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Kötelezettségek áruszállításból,szolgáltatásból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15.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  <w:t>Értékpapírok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99 710 000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  <w:t>99710000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Egyéb rövid lejáratú kötelezettség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16.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Követelések áruszáll.,szolg-ból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Rövid lejáratú kötelezettségek összesen: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17.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Egyéb követelések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Ktgvet. Passzív függő elsz.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18.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Pénztárak, csekkek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375 675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183 205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Ktgvet. Kívüli passzív elsz.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19.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Költségvetési bankszámlák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 xml:space="preserve">95 474 272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57 801 862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Egyéb passzív pü.elsz.össz.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20.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Idegen pénzeszközök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Kötelezettségek összesen: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48 169 886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58 737  660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21.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Pénzeszközök összesen: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95 849 947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57 985 067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Költségvetési évben esedékes kötelezettségek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8 577 770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16 717 216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22.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Követelések összesen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 xml:space="preserve">63 790 280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370 019 306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Költségvetési évet követően esedékes kötelezettségek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 xml:space="preserve">18 118 210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12 710 194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23.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Költségvetési évben esedékes követelések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21 102 006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367 612 937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Továbbadási c. folyósított támogatások, ellátások elszámolása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237 143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208 600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24.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Költségvetési évet követően esedékes követelések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36 523 207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Kapott előlegek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18 069 664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25 491 777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25.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Követelés jellegű sajátos elszámolások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6 165 067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2 406 369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Más szervezetet megillető bevételek elszámolása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94 159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436 933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lastRenderedPageBreak/>
              <w:t>26.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  <w:t>Egyéb sajátos eszközoldali elszámolás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left="54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  <w:t>-370 186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left="54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  <w:t>481 666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Letétre, megőrzésre átvett pénzeszközök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3 172 940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A74" w:rsidRPr="00AE2A74" w:rsidRDefault="00AE2A74" w:rsidP="00AE2A74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  <w:t>3 172 940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hu-HU"/>
              </w:rPr>
              <w:t>27.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  <w:t>  Ktgvetési aktív időbeli elhatárolás.</w:t>
            </w:r>
          </w:p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  <w:t>1 605 344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  <w:t>6 633 004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Passzív időbeli elhatárolások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306 061 580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342 977 096</w:t>
            </w:r>
          </w:p>
        </w:tc>
      </w:tr>
      <w:tr w:rsidR="00AE2A74" w:rsidRPr="00AE2A74" w:rsidTr="00D7338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u-HU"/>
              </w:rPr>
              <w:t>28.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Eszközök összesen: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left="72" w:firstLineChars="64" w:firstLine="103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3 515 883 112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left="72" w:firstLineChars="64" w:firstLine="103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3 822 003 615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Források összesen: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 xml:space="preserve">3 515 883 112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74" w:rsidRPr="00AE2A74" w:rsidRDefault="00AE2A74" w:rsidP="00AE2A74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3 822 003 615</w:t>
            </w:r>
          </w:p>
        </w:tc>
      </w:tr>
    </w:tbl>
    <w:p w:rsidR="00AE2A74" w:rsidRPr="00AE2A74" w:rsidRDefault="00AE2A74" w:rsidP="00AE2A7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  <w:sectPr w:rsidR="00AE2A74" w:rsidRPr="00AE2A74" w:rsidSect="00191EAB">
          <w:pgSz w:w="16838" w:h="11906" w:orient="landscape"/>
          <w:pgMar w:top="-1577" w:right="964" w:bottom="0" w:left="993" w:header="142" w:footer="709" w:gutter="0"/>
          <w:cols w:space="708"/>
          <w:docGrid w:linePitch="360"/>
        </w:sectPr>
      </w:pPr>
    </w:p>
    <w:p w:rsidR="00AE2A74" w:rsidRPr="00AE2A74" w:rsidRDefault="00AE2A74" w:rsidP="00AE2A7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lastRenderedPageBreak/>
        <w:t xml:space="preserve">Az Önkormányzat 2018. évi 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konszolidált záró mérleg főösszege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3.515.883 Ft volt, amely 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2019. év végére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3.822.003.615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AE2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Ft-ra</w:t>
      </w:r>
      <w:r w:rsidRPr="00AE2A7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növekedett. A változás oka az eszköz oldalon a befektetett eszközök növekedése, forrás oldalon a saját tőke összegének emelkedése.</w:t>
      </w:r>
    </w:p>
    <w:p w:rsidR="00AE2A74" w:rsidRPr="00AE2A74" w:rsidRDefault="00AE2A74" w:rsidP="00AE2A74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spacing w:before="120"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AE2A74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 részesedései és ezek tulajdoni hányada az alábbiak szerint alakult 2019. 12.31-én</w:t>
      </w:r>
      <w:r w:rsidRPr="00AE2A7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: </w:t>
      </w:r>
    </w:p>
    <w:tbl>
      <w:tblPr>
        <w:tblW w:w="68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73"/>
        <w:gridCol w:w="1785"/>
        <w:gridCol w:w="1559"/>
        <w:gridCol w:w="1363"/>
      </w:tblGrid>
      <w:tr w:rsidR="00AE2A74" w:rsidRPr="00AE2A74" w:rsidTr="00D73382">
        <w:trPr>
          <w:trHeight w:val="510"/>
        </w:trPr>
        <w:tc>
          <w:tcPr>
            <w:tcW w:w="2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lang w:eastAsia="hu-HU"/>
              </w:rPr>
              <w:t>Megnevezés</w:t>
            </w:r>
          </w:p>
        </w:tc>
        <w:tc>
          <w:tcPr>
            <w:tcW w:w="178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lang w:eastAsia="hu-HU"/>
              </w:rPr>
              <w:t>Név-</w:t>
            </w:r>
          </w:p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lang w:eastAsia="hu-HU"/>
              </w:rPr>
              <w:t>Érték Ft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lang w:eastAsia="hu-HU"/>
              </w:rPr>
              <w:t>Könyv szerinti</w:t>
            </w:r>
          </w:p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lang w:eastAsia="hu-HU"/>
              </w:rPr>
              <w:t>össz. Ft</w:t>
            </w:r>
          </w:p>
        </w:tc>
        <w:tc>
          <w:tcPr>
            <w:tcW w:w="136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lang w:eastAsia="hu-HU"/>
              </w:rPr>
              <w:t>Tulajdoni</w:t>
            </w:r>
          </w:p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lang w:eastAsia="hu-HU"/>
              </w:rPr>
              <w:t>arány</w:t>
            </w:r>
          </w:p>
        </w:tc>
      </w:tr>
      <w:tr w:rsidR="00AE2A74" w:rsidRPr="00AE2A74" w:rsidTr="00D73382">
        <w:trPr>
          <w:trHeight w:val="510"/>
        </w:trPr>
        <w:tc>
          <w:tcPr>
            <w:tcW w:w="217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lang w:eastAsia="hu-HU"/>
              </w:rPr>
              <w:t>BAHART .</w:t>
            </w:r>
          </w:p>
        </w:tc>
        <w:tc>
          <w:tcPr>
            <w:tcW w:w="1785" w:type="dxa"/>
            <w:tcBorders>
              <w:top w:val="double" w:sz="4" w:space="0" w:color="auto"/>
            </w:tcBorders>
            <w:vAlign w:val="center"/>
          </w:tcPr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lang w:eastAsia="hu-HU"/>
              </w:rPr>
              <w:t>2.840.000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lang w:eastAsia="hu-HU"/>
              </w:rPr>
              <w:t>2.840.000</w:t>
            </w:r>
          </w:p>
        </w:tc>
        <w:tc>
          <w:tcPr>
            <w:tcW w:w="1363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lang w:eastAsia="hu-HU"/>
              </w:rPr>
              <w:t>0,07%</w:t>
            </w:r>
          </w:p>
        </w:tc>
      </w:tr>
      <w:tr w:rsidR="00AE2A74" w:rsidRPr="00AE2A74" w:rsidTr="00D73382">
        <w:trPr>
          <w:trHeight w:val="510"/>
        </w:trPr>
        <w:tc>
          <w:tcPr>
            <w:tcW w:w="2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lang w:eastAsia="hu-HU"/>
              </w:rPr>
              <w:t>Csopak-Info  Nonprofit Kft.</w:t>
            </w:r>
          </w:p>
        </w:tc>
        <w:tc>
          <w:tcPr>
            <w:tcW w:w="178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lang w:eastAsia="hu-HU"/>
              </w:rPr>
              <w:t>6.000.000.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lang w:eastAsia="hu-HU"/>
              </w:rPr>
              <w:t>6.000.000</w:t>
            </w:r>
          </w:p>
        </w:tc>
        <w:tc>
          <w:tcPr>
            <w:tcW w:w="136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lang w:eastAsia="hu-HU"/>
              </w:rPr>
              <w:t>100%</w:t>
            </w:r>
          </w:p>
        </w:tc>
      </w:tr>
      <w:tr w:rsidR="00AE2A74" w:rsidRPr="00AE2A74" w:rsidTr="00D73382">
        <w:trPr>
          <w:trHeight w:val="510"/>
        </w:trPr>
        <w:tc>
          <w:tcPr>
            <w:tcW w:w="2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lang w:eastAsia="hu-HU"/>
              </w:rPr>
              <w:t>Összesen:</w:t>
            </w:r>
          </w:p>
        </w:tc>
        <w:tc>
          <w:tcPr>
            <w:tcW w:w="178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lang w:eastAsia="hu-HU"/>
              </w:rPr>
              <w:t>8.840.000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AE2A74">
              <w:rPr>
                <w:rFonts w:ascii="Times New Roman" w:eastAsia="Times New Roman" w:hAnsi="Times New Roman" w:cs="Times New Roman"/>
                <w:b/>
                <w:lang w:eastAsia="hu-HU"/>
              </w:rPr>
              <w:t>8.840.000</w:t>
            </w:r>
          </w:p>
        </w:tc>
        <w:tc>
          <w:tcPr>
            <w:tcW w:w="136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E2A74" w:rsidRPr="00AE2A74" w:rsidRDefault="00AE2A74" w:rsidP="00AE2A74">
            <w:pPr>
              <w:tabs>
                <w:tab w:val="right" w:pos="8505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</w:tr>
    </w:tbl>
    <w:p w:rsidR="00AE2A74" w:rsidRPr="00AE2A74" w:rsidRDefault="00AE2A74" w:rsidP="00AE2A74">
      <w:pPr>
        <w:spacing w:before="4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E2A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Összességében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elmondható, hogy </w:t>
      </w:r>
      <w:r w:rsidRPr="00AE2A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Önkormányzat 2019. évi gazdálkodása stabil volt</w:t>
      </w:r>
      <w:r w:rsidRPr="00AE2A74">
        <w:rPr>
          <w:rFonts w:ascii="Times New Roman" w:eastAsia="Times New Roman" w:hAnsi="Times New Roman" w:cs="Times New Roman"/>
          <w:sz w:val="24"/>
          <w:szCs w:val="24"/>
          <w:lang w:eastAsia="hu-HU"/>
        </w:rPr>
        <w:t>, likviditási problémák nem jelentkeztek. A képviselő-testület által elfogadott eredeti költségvetés és a módosításai, a megfelelő pénzügyi döntések megteremtették a kiegyensúlyozott gazdálkodás lehetőségét ebben a jogszabályokban folyamatosan változó, felgyorsult világunkban.</w:t>
      </w:r>
    </w:p>
    <w:p w:rsidR="006473C8" w:rsidRDefault="006473C8"/>
    <w:p w:rsidR="00AE2A74" w:rsidRDefault="00AE2A74" w:rsidP="00AE2A74">
      <w:pPr>
        <w:jc w:val="center"/>
      </w:pPr>
      <w:bookmarkStart w:id="0" w:name="_GoBack"/>
    </w:p>
    <w:p w:rsidR="00AE2A74" w:rsidRDefault="00AE2A74" w:rsidP="00AE2A74">
      <w:pPr>
        <w:jc w:val="center"/>
      </w:pPr>
      <w:r>
        <w:t>Dr. Szántód Anita sk.</w:t>
      </w:r>
    </w:p>
    <w:p w:rsidR="00AE2A74" w:rsidRDefault="00AE2A74" w:rsidP="00AE2A74">
      <w:pPr>
        <w:jc w:val="center"/>
      </w:pPr>
      <w:r>
        <w:t>jegyző</w:t>
      </w:r>
      <w:bookmarkEnd w:id="0"/>
    </w:p>
    <w:sectPr w:rsidR="00AE2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EAB" w:rsidRDefault="00AE2A74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</w:t>
    </w:r>
    <w:r>
      <w:fldChar w:fldCharType="end"/>
    </w:r>
  </w:p>
  <w:p w:rsidR="00191EAB" w:rsidRDefault="00AE2A74">
    <w:pPr>
      <w:pStyle w:val="llb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A74"/>
    <w:rsid w:val="006473C8"/>
    <w:rsid w:val="00AE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AE2A7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AE2A74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AE2A7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AE2A74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2031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2020-06-30T14:27:00Z</dcterms:created>
  <dcterms:modified xsi:type="dcterms:W3CDTF">2020-06-30T14:30:00Z</dcterms:modified>
</cp:coreProperties>
</file>