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A4A" w:rsidRDefault="00210A4A" w:rsidP="00210A4A">
      <w:pPr>
        <w:rPr>
          <w:iCs/>
        </w:rPr>
      </w:pPr>
      <w:r>
        <w:rPr>
          <w:iCs/>
        </w:rPr>
        <w:t xml:space="preserve">2. számú melléklet </w:t>
      </w:r>
    </w:p>
    <w:p w:rsidR="00210A4A" w:rsidRDefault="00210A4A" w:rsidP="00210A4A">
      <w:pPr>
        <w:pStyle w:val="FejezetCm"/>
      </w:pPr>
      <w:r>
        <w:t>A közterületek használatáról szóló rendelethez</w:t>
      </w:r>
    </w:p>
    <w:p w:rsidR="00210A4A" w:rsidRDefault="00210A4A" w:rsidP="00210A4A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1.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-enkénti díj tényleges felületre vonatkozik)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2. 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Árusítófülke, pavilon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3..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Önálló hirdető-berendezések, táblák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4.</w:t>
            </w:r>
          </w:p>
        </w:tc>
        <w:tc>
          <w:tcPr>
            <w:tcW w:w="6237" w:type="dxa"/>
          </w:tcPr>
          <w:p w:rsidR="00210A4A" w:rsidRDefault="00210A4A" w:rsidP="00F15FCB">
            <w:pPr>
              <w:ind w:left="237" w:hanging="237"/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Építési munkával kapcsolatos építőanyag- és törmeléktárolás, állványelhelyezés: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        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5.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6..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– Vendéglátó-ipari előkert: 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/hó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Üzleti szállítás vagy rakodás alkalmával göngyölegek elhelyezése, árukirakodás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200 Ft/m</w:t>
            </w:r>
            <w:r>
              <w:rPr>
                <w:sz w:val="18"/>
                <w:szCs w:val="16"/>
                <w:vertAlign w:val="superscript"/>
              </w:rPr>
              <w:t>2</w:t>
            </w:r>
            <w:r>
              <w:rPr>
                <w:sz w:val="18"/>
                <w:szCs w:val="24"/>
              </w:rPr>
              <w:t>/év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7.</w:t>
            </w:r>
          </w:p>
        </w:tc>
        <w:tc>
          <w:tcPr>
            <w:tcW w:w="6237" w:type="dxa"/>
          </w:tcPr>
          <w:p w:rsidR="00210A4A" w:rsidRDefault="00210A4A" w:rsidP="00F15FCB">
            <w:pPr>
              <w:jc w:val="lef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– Alkalmi vásár a Faluházban</w:t>
            </w: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 xml:space="preserve"> 5000 Ft/nap</w:t>
            </w:r>
          </w:p>
        </w:tc>
      </w:tr>
      <w:tr w:rsidR="00210A4A" w:rsidTr="00F15FCB">
        <w:trPr>
          <w:cantSplit/>
        </w:trPr>
        <w:tc>
          <w:tcPr>
            <w:tcW w:w="567" w:type="dxa"/>
          </w:tcPr>
          <w:p w:rsidR="00210A4A" w:rsidRDefault="00210A4A" w:rsidP="00F15FCB">
            <w:pPr>
              <w:ind w:right="170"/>
              <w:jc w:val="right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rStyle w:val="Lbjegyzet-hivatkozs"/>
                <w:sz w:val="18"/>
              </w:rPr>
              <w:footnoteReference w:id="1"/>
            </w:r>
          </w:p>
        </w:tc>
        <w:tc>
          <w:tcPr>
            <w:tcW w:w="6237" w:type="dxa"/>
          </w:tcPr>
          <w:p w:rsidR="00210A4A" w:rsidRDefault="00210A4A" w:rsidP="00F15FCB">
            <w:pPr>
              <w:rPr>
                <w:sz w:val="18"/>
              </w:rPr>
            </w:pPr>
          </w:p>
        </w:tc>
        <w:tc>
          <w:tcPr>
            <w:tcW w:w="1701" w:type="dxa"/>
          </w:tcPr>
          <w:p w:rsidR="00210A4A" w:rsidRDefault="00210A4A" w:rsidP="00F15FCB">
            <w:pPr>
              <w:ind w:right="284"/>
              <w:jc w:val="right"/>
              <w:rPr>
                <w:sz w:val="18"/>
              </w:rPr>
            </w:pPr>
          </w:p>
        </w:tc>
      </w:tr>
    </w:tbl>
    <w:p w:rsidR="00210A4A" w:rsidRDefault="00210A4A" w:rsidP="00210A4A"/>
    <w:p w:rsidR="00A46429" w:rsidRDefault="00A46429"/>
    <w:sectPr w:rsidR="00A46429">
      <w:pgSz w:w="11907" w:h="16840"/>
      <w:pgMar w:top="1417" w:right="1690" w:bottom="1383" w:left="1690" w:header="709" w:footer="709" w:gutter="0"/>
      <w:pgNumType w:start="7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A4A" w:rsidRDefault="00210A4A" w:rsidP="00210A4A">
      <w:r>
        <w:separator/>
      </w:r>
    </w:p>
  </w:endnote>
  <w:endnote w:type="continuationSeparator" w:id="0">
    <w:p w:rsidR="00210A4A" w:rsidRDefault="00210A4A" w:rsidP="0021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A4A" w:rsidRDefault="00210A4A" w:rsidP="00210A4A">
      <w:r>
        <w:separator/>
      </w:r>
    </w:p>
  </w:footnote>
  <w:footnote w:type="continuationSeparator" w:id="0">
    <w:p w:rsidR="00210A4A" w:rsidRDefault="00210A4A" w:rsidP="00210A4A">
      <w:r>
        <w:continuationSeparator/>
      </w:r>
    </w:p>
  </w:footnote>
  <w:footnote w:id="1">
    <w:p w:rsidR="00210A4A" w:rsidRDefault="00210A4A" w:rsidP="00210A4A">
      <w:pPr>
        <w:pStyle w:val="Lbjegyzetszveg"/>
      </w:pPr>
      <w:r>
        <w:rPr>
          <w:rStyle w:val="Lbjegyzet-hivatkozs"/>
        </w:rPr>
        <w:footnoteRef/>
      </w:r>
      <w:r>
        <w:t xml:space="preserve"> Módosította a </w:t>
      </w:r>
      <w:r w:rsidR="005C3569">
        <w:t>15/2016. (XI. 30.) önkormányzati rendelet. Hatályát vesztette 2016. december 1-től.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A4A"/>
    <w:rsid w:val="00210A4A"/>
    <w:rsid w:val="005C3569"/>
    <w:rsid w:val="00A4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1AF7F-2DBE-47BF-B7D3-F28336E1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0A4A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210A4A"/>
    <w:pPr>
      <w:keepNext/>
      <w:spacing w:before="480" w:after="240"/>
      <w:jc w:val="center"/>
    </w:pPr>
    <w:rPr>
      <w:b/>
      <w:i/>
    </w:rPr>
  </w:style>
  <w:style w:type="paragraph" w:styleId="Lbjegyzetszveg">
    <w:name w:val="footnote text"/>
    <w:basedOn w:val="Norml"/>
    <w:link w:val="LbjegyzetszvegChar"/>
    <w:semiHidden/>
    <w:rsid w:val="00210A4A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10A4A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210A4A"/>
    <w:rPr>
      <w:vertAlign w:val="superscript"/>
    </w:rPr>
  </w:style>
  <w:style w:type="paragraph" w:customStyle="1" w:styleId="CharChar">
    <w:name w:val="Char Char"/>
    <w:basedOn w:val="Norml"/>
    <w:rsid w:val="00210A4A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zankaph onk</cp:lastModifiedBy>
  <cp:revision>2</cp:revision>
  <dcterms:created xsi:type="dcterms:W3CDTF">2017-04-19T15:08:00Z</dcterms:created>
  <dcterms:modified xsi:type="dcterms:W3CDTF">2017-04-19T15:08:00Z</dcterms:modified>
</cp:coreProperties>
</file>