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A40A" w14:textId="77777777" w:rsidR="009E0896" w:rsidRPr="00DB54E3" w:rsidRDefault="009E0896" w:rsidP="009E0896">
      <w:pPr>
        <w:suppressAutoHyphens/>
        <w:autoSpaceDE w:val="0"/>
        <w:autoSpaceDN w:val="0"/>
        <w:adjustRightInd w:val="0"/>
        <w:spacing w:after="0" w:line="240" w:lineRule="auto"/>
        <w:ind w:left="964"/>
        <w:jc w:val="center"/>
        <w:textAlignment w:val="center"/>
        <w:rPr>
          <w:rFonts w:ascii="Times New Roman" w:hAnsi="Times New Roman" w:cs="Times New Roman"/>
          <w:b/>
          <w:bCs/>
          <w:sz w:val="20"/>
          <w:szCs w:val="19"/>
        </w:rPr>
      </w:pPr>
      <w:r w:rsidRPr="00DB54E3">
        <w:rPr>
          <w:rFonts w:ascii="Times New Roman" w:hAnsi="Times New Roman" w:cs="Times New Roman"/>
          <w:b/>
          <w:bCs/>
          <w:sz w:val="20"/>
          <w:szCs w:val="19"/>
        </w:rPr>
        <w:t>A büntetés-végrehajtási szervezet hivatásos állománya alkalmasságvizsgálati egészségi, pszichikai és fizikai kategória-feltételei</w:t>
      </w:r>
    </w:p>
    <w:p w14:paraId="6744E860"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p>
    <w:tbl>
      <w:tblPr>
        <w:tblW w:w="0" w:type="auto"/>
        <w:tblInd w:w="-3" w:type="dxa"/>
        <w:tblLayout w:type="fixed"/>
        <w:tblCellMar>
          <w:left w:w="0" w:type="dxa"/>
          <w:right w:w="0" w:type="dxa"/>
        </w:tblCellMar>
        <w:tblLook w:val="0000" w:firstRow="0" w:lastRow="0" w:firstColumn="0" w:lastColumn="0" w:noHBand="0" w:noVBand="0"/>
      </w:tblPr>
      <w:tblGrid>
        <w:gridCol w:w="1247"/>
        <w:gridCol w:w="1247"/>
        <w:gridCol w:w="3686"/>
        <w:gridCol w:w="2834"/>
        <w:gridCol w:w="2325"/>
        <w:gridCol w:w="2607"/>
      </w:tblGrid>
      <w:tr w:rsidR="009E0896" w:rsidRPr="00DB54E3" w14:paraId="5CDA7E8F" w14:textId="77777777" w:rsidTr="009E0896">
        <w:trPr>
          <w:trHeight w:val="60"/>
        </w:trPr>
        <w:tc>
          <w:tcPr>
            <w:tcW w:w="2494" w:type="dxa"/>
            <w:gridSpan w:val="2"/>
            <w:vMerge w:val="restart"/>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79" w:type="dxa"/>
              <w:left w:w="79" w:type="dxa"/>
              <w:bottom w:w="79" w:type="dxa"/>
              <w:right w:w="79" w:type="dxa"/>
            </w:tcMar>
            <w:vAlign w:val="center"/>
          </w:tcPr>
          <w:p w14:paraId="5993956C"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DD8355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Támogató szerepkör</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A82192D"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Adminisztratív vagy hatósági szerepkör</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C0CA86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Beavatkozó vagy intézkedő szerepkör</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CA4E46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Speciális</w:t>
            </w:r>
          </w:p>
        </w:tc>
      </w:tr>
      <w:tr w:rsidR="009E0896" w:rsidRPr="00DB54E3" w14:paraId="0B00FF76" w14:textId="77777777" w:rsidTr="009E0896">
        <w:trPr>
          <w:trHeight w:val="60"/>
        </w:trPr>
        <w:tc>
          <w:tcPr>
            <w:tcW w:w="2494" w:type="dxa"/>
            <w:gridSpan w:val="2"/>
            <w:vMerge/>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53610A3"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36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46290B2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 alkalmassági kategória</w:t>
            </w:r>
          </w:p>
        </w:tc>
        <w:tc>
          <w:tcPr>
            <w:tcW w:w="28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2F9D3A5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 alkalmassági kategória</w:t>
            </w:r>
          </w:p>
        </w:tc>
        <w:tc>
          <w:tcPr>
            <w:tcW w:w="23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3DD3384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III. alkalmassági kategória</w:t>
            </w:r>
          </w:p>
        </w:tc>
        <w:tc>
          <w:tcPr>
            <w:tcW w:w="26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6B21CEA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IV. alkalmassági kategória</w:t>
            </w:r>
          </w:p>
        </w:tc>
      </w:tr>
      <w:tr w:rsidR="009E0896" w:rsidRPr="00DB54E3" w14:paraId="0CCF1115" w14:textId="77777777" w:rsidTr="00612D46">
        <w:trPr>
          <w:trHeight w:val="60"/>
        </w:trPr>
        <w:tc>
          <w:tcPr>
            <w:tcW w:w="1247" w:type="dxa"/>
            <w:vMerge w:val="restart"/>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05506D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Beosztott</w:t>
            </w: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8F4500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Egészségi</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FAFFCC7"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Háziorvosi kérdőív a minimumfeltételeknek történő megfelelésről (nincs kizáró betegség). Laboratóriumi vizsgálat (vérkép, vércukor, vesefunkció, májenzimprofil) értékek normál tartományban; EKG papíralapú vizsgálati lelet (nem leletezett, a rendelőben is elvégezhető), egy évnél nem régebbi negatív mellkas RTG vizsgálat vagy tüdőszűrő vizsgálati lelet, alkalmassági vizsgálat során részletes anamnézisfelvétel (kizáró betegség nem detektálható) és paraméterek (vérnyomás, pulzus) rögzítése, részletes belgyógyászati szemléletű vizsgálat (negatív státusz)</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D815A6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negatív eredményű nőgyógyászati vizsgálat (nők), negatív eredményű urológiai vizsgálat (férfiak), színlátás egyszerű vizsgálati lelete (nincs kizáró tényező)</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674E6E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vagy hatósági szerepkör + negatív eredményű </w:t>
            </w:r>
            <w:proofErr w:type="spellStart"/>
            <w:r w:rsidRPr="00DB54E3">
              <w:rPr>
                <w:rFonts w:ascii="Times New Roman" w:hAnsi="Times New Roman" w:cs="Times New Roman"/>
                <w:sz w:val="20"/>
                <w:szCs w:val="18"/>
              </w:rPr>
              <w:t>audiológiai</w:t>
            </w:r>
            <w:proofErr w:type="spellEnd"/>
            <w:r w:rsidRPr="00DB54E3">
              <w:rPr>
                <w:rFonts w:ascii="Times New Roman" w:hAnsi="Times New Roman" w:cs="Times New Roman"/>
                <w:sz w:val="20"/>
                <w:szCs w:val="18"/>
              </w:rPr>
              <w:t xml:space="preserve"> vizsgálat lelete (halláscsökkenés nincs), szemészeti lelet, ahol a korrigálatlan látásélesség nem kisebb, mint 0,8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DCBC19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adminisztratív szerepkör + beavatkozó vagy intézkedő szerepkör + kiterjesztett laborvizsgálat (vérkép, vesefunkció, májenzim, vérzsírok, mellékvese és agyalapi mirigy hormonszintek leleteredményei a normál tartományban, endokrinológiai szakvizsgálat eredményei (negatív státusz))</w:t>
            </w:r>
          </w:p>
        </w:tc>
      </w:tr>
      <w:tr w:rsidR="009E0896" w:rsidRPr="00DB54E3" w14:paraId="0A3B4355" w14:textId="77777777" w:rsidTr="00612D46">
        <w:trPr>
          <w:trHeight w:val="60"/>
        </w:trPr>
        <w:tc>
          <w:tcPr>
            <w:tcW w:w="1247" w:type="dxa"/>
            <w:vMerge/>
            <w:tcBorders>
              <w:top w:val="single" w:sz="2" w:space="0" w:color="000000"/>
              <w:left w:val="single" w:sz="2" w:space="0" w:color="000000"/>
              <w:bottom w:val="single" w:sz="2" w:space="0" w:color="000000"/>
              <w:right w:val="single" w:sz="2" w:space="0" w:color="000000"/>
            </w:tcBorders>
          </w:tcPr>
          <w:p w14:paraId="7ECF07E6"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76F086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9A1349A"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86BB6BD"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alapkompetenciák (alacsony-átlagos követelményszint)</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74E2C6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alapkompetenciák (közepes követelményszint)</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D09562A"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alapkompetenciák (magas)</w:t>
            </w:r>
          </w:p>
        </w:tc>
      </w:tr>
      <w:tr w:rsidR="009E0896" w:rsidRPr="00DB54E3" w14:paraId="3FED9E10" w14:textId="77777777" w:rsidTr="00612D46">
        <w:trPr>
          <w:trHeight w:val="60"/>
        </w:trPr>
        <w:tc>
          <w:tcPr>
            <w:tcW w:w="1247" w:type="dxa"/>
            <w:vMerge/>
            <w:tcBorders>
              <w:top w:val="single" w:sz="2" w:space="0" w:color="000000"/>
              <w:left w:val="single" w:sz="2" w:space="0" w:color="000000"/>
              <w:bottom w:val="single" w:sz="2" w:space="0" w:color="000000"/>
              <w:right w:val="single" w:sz="2" w:space="0" w:color="000000"/>
            </w:tcBorders>
          </w:tcPr>
          <w:p w14:paraId="1E92BE97"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EA66ED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1F7DD1D"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fizikai minimumfeltétel minimumérték</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CEA90A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fizikai minimumfeltétel minimumérték + testi erő- és állóképességi teszten 2 választható mozgásformából elért legalább 26 pont</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DBC3ED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minimumfeltétel minimumérték + testi erő- és állóképességi teszten 3 választható mozgásformából elért legalább 38 pont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9C2C43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minimumfeltétel minimumérték + Spárta 300 speciális állapotfelmérésen megfelelt </w:t>
            </w:r>
            <w:proofErr w:type="gramStart"/>
            <w:r w:rsidRPr="00DB54E3">
              <w:rPr>
                <w:rFonts w:ascii="Times New Roman" w:hAnsi="Times New Roman" w:cs="Times New Roman"/>
                <w:sz w:val="20"/>
                <w:szCs w:val="18"/>
              </w:rPr>
              <w:t>teljesítményérték  felvételi</w:t>
            </w:r>
            <w:proofErr w:type="gramEnd"/>
            <w:r w:rsidRPr="00DB54E3">
              <w:rPr>
                <w:rFonts w:ascii="Times New Roman" w:hAnsi="Times New Roman" w:cs="Times New Roman"/>
                <w:sz w:val="20"/>
                <w:szCs w:val="18"/>
              </w:rPr>
              <w:t xml:space="preserve"> eljárás során 50 perc alatti szintidő / legalább 1 pont, időszakos alkalmasságvizsgálat esetén 40 perc alatti szintidő / legalább 26 pont</w:t>
            </w:r>
          </w:p>
        </w:tc>
      </w:tr>
    </w:tbl>
    <w:p w14:paraId="31BCE64F" w14:textId="77777777" w:rsidR="009E0896" w:rsidRPr="00DB54E3" w:rsidRDefault="009E0896" w:rsidP="009E0896">
      <w:pPr>
        <w:suppressAutoHyphens/>
        <w:autoSpaceDE w:val="0"/>
        <w:autoSpaceDN w:val="0"/>
        <w:adjustRightInd w:val="0"/>
        <w:spacing w:after="0" w:line="240" w:lineRule="auto"/>
        <w:ind w:left="964"/>
        <w:jc w:val="both"/>
        <w:textAlignment w:val="center"/>
        <w:rPr>
          <w:rFonts w:ascii="Times New Roman" w:hAnsi="Times New Roman" w:cs="Times New Roman"/>
          <w:sz w:val="20"/>
          <w:szCs w:val="18"/>
        </w:rPr>
      </w:pPr>
    </w:p>
    <w:tbl>
      <w:tblPr>
        <w:tblW w:w="0" w:type="auto"/>
        <w:tblInd w:w="-3" w:type="dxa"/>
        <w:tblLayout w:type="fixed"/>
        <w:tblCellMar>
          <w:left w:w="0" w:type="dxa"/>
          <w:right w:w="0" w:type="dxa"/>
        </w:tblCellMar>
        <w:tblLook w:val="0000" w:firstRow="0" w:lastRow="0" w:firstColumn="0" w:lastColumn="0" w:noHBand="0" w:noVBand="0"/>
      </w:tblPr>
      <w:tblGrid>
        <w:gridCol w:w="1247"/>
        <w:gridCol w:w="1247"/>
        <w:gridCol w:w="3686"/>
        <w:gridCol w:w="2834"/>
        <w:gridCol w:w="2325"/>
        <w:gridCol w:w="2607"/>
      </w:tblGrid>
      <w:tr w:rsidR="009E0896" w:rsidRPr="00DB54E3" w14:paraId="4B5DFE54" w14:textId="77777777" w:rsidTr="009E0896">
        <w:trPr>
          <w:trHeight w:val="60"/>
        </w:trPr>
        <w:tc>
          <w:tcPr>
            <w:tcW w:w="2494" w:type="dxa"/>
            <w:gridSpan w:val="2"/>
            <w:vMerge w:val="restart"/>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79" w:type="dxa"/>
              <w:left w:w="79" w:type="dxa"/>
              <w:bottom w:w="79" w:type="dxa"/>
              <w:right w:w="79" w:type="dxa"/>
            </w:tcMar>
            <w:vAlign w:val="center"/>
          </w:tcPr>
          <w:p w14:paraId="36DC407D"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AA2C27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Támogató szerepkör</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10A4A6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Adminisztratív vagy hatósági szerepkör</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2D4699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Beavatkozó vagy intézkedő szerepkör</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9E2C2F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Speciális</w:t>
            </w:r>
          </w:p>
        </w:tc>
      </w:tr>
      <w:tr w:rsidR="009E0896" w:rsidRPr="00DB54E3" w14:paraId="6F18DDF3" w14:textId="77777777" w:rsidTr="009E0896">
        <w:trPr>
          <w:trHeight w:val="60"/>
        </w:trPr>
        <w:tc>
          <w:tcPr>
            <w:tcW w:w="2494" w:type="dxa"/>
            <w:gridSpan w:val="2"/>
            <w:vMerge/>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6FF2C7BC"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36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4FE574BA"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V. alkalmassági kategória</w:t>
            </w:r>
          </w:p>
        </w:tc>
        <w:tc>
          <w:tcPr>
            <w:tcW w:w="28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30BBE01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VI. alkalmassági kategória</w:t>
            </w:r>
          </w:p>
        </w:tc>
        <w:tc>
          <w:tcPr>
            <w:tcW w:w="23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3291522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VII. alkalmassági kategória</w:t>
            </w:r>
          </w:p>
        </w:tc>
        <w:tc>
          <w:tcPr>
            <w:tcW w:w="26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0C09CD6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VIII. alkalmassági kategória</w:t>
            </w:r>
          </w:p>
        </w:tc>
      </w:tr>
      <w:tr w:rsidR="009E0896" w:rsidRPr="00DB54E3" w14:paraId="7DD28D07" w14:textId="77777777" w:rsidTr="00612D46">
        <w:trPr>
          <w:trHeight w:val="60"/>
        </w:trPr>
        <w:tc>
          <w:tcPr>
            <w:tcW w:w="1247" w:type="dxa"/>
            <w:vMerge w:val="restart"/>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80799B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Irányító</w:t>
            </w: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6A073E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Egészségi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48BDCE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Háziorvosi kérdőív a minimumfeltételeknek történő megfelelésről (nincs kizáró betegség). Laboratóriumi vizsgálat (vérkép, vércukor, vesefunkció, májenzimprofil) értékek normál </w:t>
            </w:r>
            <w:proofErr w:type="gramStart"/>
            <w:r w:rsidRPr="00DB54E3">
              <w:rPr>
                <w:rFonts w:ascii="Times New Roman" w:hAnsi="Times New Roman" w:cs="Times New Roman"/>
                <w:sz w:val="20"/>
                <w:szCs w:val="18"/>
              </w:rPr>
              <w:t>tartományban;  EKG</w:t>
            </w:r>
            <w:proofErr w:type="gramEnd"/>
            <w:r w:rsidRPr="00DB54E3">
              <w:rPr>
                <w:rFonts w:ascii="Times New Roman" w:hAnsi="Times New Roman" w:cs="Times New Roman"/>
                <w:sz w:val="20"/>
                <w:szCs w:val="18"/>
              </w:rPr>
              <w:t xml:space="preserve"> papíralapú vizsgálati lelet (nem leletezett, a rendelőben is elvégezhető), egy évnél nem régebbi negatív mellkas RTG vizsgálat vagy tüdőszűrő vizsgálati lelet, alkalmassági vizsgálat során részletes anamnézisfelvétel (kizáró betegség nem detektálható) és paraméterek (vérnyomás, pulzus) rögzítése, részletes belgyógyászati szemléletű vizsgálat (negatív státusz)</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4A7792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negatív eredményű nőgyógyászati vizsgálati lelet (nők), negatív eredményű urológiai vizsgálati lelet (férfiak), színlátás egyszerű vizsgálati lelete (nincs kizáró tényező)</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7DF3C6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vagy hatósági szerepkör + negatív eredményű </w:t>
            </w:r>
            <w:proofErr w:type="spellStart"/>
            <w:r w:rsidRPr="00DB54E3">
              <w:rPr>
                <w:rFonts w:ascii="Times New Roman" w:hAnsi="Times New Roman" w:cs="Times New Roman"/>
                <w:sz w:val="20"/>
                <w:szCs w:val="18"/>
              </w:rPr>
              <w:t>audiológiai</w:t>
            </w:r>
            <w:proofErr w:type="spellEnd"/>
            <w:r w:rsidRPr="00DB54E3">
              <w:rPr>
                <w:rFonts w:ascii="Times New Roman" w:hAnsi="Times New Roman" w:cs="Times New Roman"/>
                <w:sz w:val="20"/>
                <w:szCs w:val="18"/>
              </w:rPr>
              <w:t xml:space="preserve"> vizsgálat lelete (halláscsökkenés nincs), szemészeti lelet, ahol a korrigálatlan látásélesség nem kisebb, mint 0,8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A1C616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adminisztratív szerepkör + beavatkozó vagy intézkedő szerepkör + kiterjesztett laborvizsgálat (vérkép, vesefunkció, májenzim, vérzsírok, mellékvese és agyalapi mirigy hormonszintek leleteredményei a normál tartományban, endokrinológiai szakvizsgálat (negatív státusz)</w:t>
            </w:r>
          </w:p>
        </w:tc>
      </w:tr>
      <w:tr w:rsidR="009E0896" w:rsidRPr="00DB54E3" w14:paraId="05FC04D1" w14:textId="77777777" w:rsidTr="00612D46">
        <w:trPr>
          <w:trHeight w:val="60"/>
        </w:trPr>
        <w:tc>
          <w:tcPr>
            <w:tcW w:w="1247" w:type="dxa"/>
            <w:vMerge/>
            <w:tcBorders>
              <w:top w:val="single" w:sz="2" w:space="0" w:color="000000"/>
              <w:left w:val="single" w:sz="2" w:space="0" w:color="000000"/>
              <w:bottom w:val="single" w:sz="2" w:space="0" w:color="000000"/>
              <w:right w:val="single" w:sz="2" w:space="0" w:color="000000"/>
            </w:tcBorders>
          </w:tcPr>
          <w:p w14:paraId="11793E1B"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3504F5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Pszichológiai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B0001D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A54458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irányítói kompetenciák (alacsony-átlagos követelményszint)</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DFC9946"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irányítói kompetenciák (közepes követelményszint)</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E90D9B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irányítói kompetenciák (magas)</w:t>
            </w:r>
          </w:p>
        </w:tc>
      </w:tr>
      <w:tr w:rsidR="009E0896" w:rsidRPr="00DB54E3" w14:paraId="6387F5F5" w14:textId="77777777" w:rsidTr="00612D46">
        <w:trPr>
          <w:trHeight w:val="60"/>
        </w:trPr>
        <w:tc>
          <w:tcPr>
            <w:tcW w:w="1247" w:type="dxa"/>
            <w:vMerge/>
            <w:tcBorders>
              <w:top w:val="single" w:sz="2" w:space="0" w:color="000000"/>
              <w:left w:val="single" w:sz="2" w:space="0" w:color="000000"/>
              <w:bottom w:val="single" w:sz="2" w:space="0" w:color="000000"/>
              <w:right w:val="single" w:sz="2" w:space="0" w:color="000000"/>
            </w:tcBorders>
          </w:tcPr>
          <w:p w14:paraId="30516B2B"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E890EAA"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B04528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fizikai minimumfeltétel minimumérték</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FDE8C16"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fizikai minimumfeltétel minimumérték + testi erő- és állóképességi teszten 2 választható mozgásformából elért legalább 26 pont</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7B104AD"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minimumfeltétel minimumérték + testi erő- és állóképességi teszten 3 választható mozgásformából elért legalább 38 pont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D0D552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minimumfeltétel minimumérték + Spárta 300 speciális állapotfelmérésen megfelelt </w:t>
            </w:r>
            <w:proofErr w:type="gramStart"/>
            <w:r w:rsidRPr="00DB54E3">
              <w:rPr>
                <w:rFonts w:ascii="Times New Roman" w:hAnsi="Times New Roman" w:cs="Times New Roman"/>
                <w:sz w:val="20"/>
                <w:szCs w:val="18"/>
              </w:rPr>
              <w:t>teljesítményérték  felvételi</w:t>
            </w:r>
            <w:proofErr w:type="gramEnd"/>
            <w:r w:rsidRPr="00DB54E3">
              <w:rPr>
                <w:rFonts w:ascii="Times New Roman" w:hAnsi="Times New Roman" w:cs="Times New Roman"/>
                <w:sz w:val="20"/>
                <w:szCs w:val="18"/>
              </w:rPr>
              <w:t xml:space="preserve"> eljárás során 50 perc alatti szintidő / legalább 1 pont, időszakos alkalmasságvizsgálat esetén 40 perc alatti szintidő / legalább 26 pont </w:t>
            </w:r>
          </w:p>
        </w:tc>
      </w:tr>
    </w:tbl>
    <w:p w14:paraId="71F39476"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p>
    <w:p w14:paraId="2893789E"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p>
    <w:tbl>
      <w:tblPr>
        <w:tblW w:w="0" w:type="auto"/>
        <w:tblInd w:w="-3" w:type="dxa"/>
        <w:tblLayout w:type="fixed"/>
        <w:tblCellMar>
          <w:left w:w="0" w:type="dxa"/>
          <w:right w:w="0" w:type="dxa"/>
        </w:tblCellMar>
        <w:tblLook w:val="0000" w:firstRow="0" w:lastRow="0" w:firstColumn="0" w:lastColumn="0" w:noHBand="0" w:noVBand="0"/>
      </w:tblPr>
      <w:tblGrid>
        <w:gridCol w:w="1247"/>
        <w:gridCol w:w="1247"/>
        <w:gridCol w:w="3686"/>
        <w:gridCol w:w="2834"/>
        <w:gridCol w:w="2325"/>
        <w:gridCol w:w="2607"/>
      </w:tblGrid>
      <w:tr w:rsidR="009E0896" w:rsidRPr="00DB54E3" w14:paraId="6C77B356" w14:textId="77777777" w:rsidTr="009E0896">
        <w:trPr>
          <w:trHeight w:val="60"/>
        </w:trPr>
        <w:tc>
          <w:tcPr>
            <w:tcW w:w="2494" w:type="dxa"/>
            <w:gridSpan w:val="2"/>
            <w:vMerge w:val="restart"/>
            <w:tcBorders>
              <w:top w:val="single" w:sz="2" w:space="0" w:color="000000"/>
              <w:left w:val="single" w:sz="2" w:space="0" w:color="000000"/>
              <w:bottom w:val="single" w:sz="2" w:space="0" w:color="000000"/>
              <w:right w:val="single" w:sz="2" w:space="0" w:color="000000"/>
            </w:tcBorders>
            <w:shd w:val="clear" w:color="auto" w:fill="BFBFBF" w:themeFill="background1" w:themeFillShade="BF"/>
            <w:tcMar>
              <w:top w:w="79" w:type="dxa"/>
              <w:left w:w="79" w:type="dxa"/>
              <w:bottom w:w="79" w:type="dxa"/>
              <w:right w:w="79" w:type="dxa"/>
            </w:tcMar>
            <w:vAlign w:val="center"/>
          </w:tcPr>
          <w:p w14:paraId="3C8701B7"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259ABCA"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Támogató szerepkör</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52023D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Adminisztratív vagy hatósági szerepkör</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D0C0FE7"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Beavatkozó vagy intézkedő szerepkör</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2CAE31D"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Speciális</w:t>
            </w:r>
          </w:p>
        </w:tc>
      </w:tr>
      <w:tr w:rsidR="009E0896" w:rsidRPr="00DB54E3" w14:paraId="74693E88" w14:textId="77777777" w:rsidTr="009E0896">
        <w:trPr>
          <w:trHeight w:val="60"/>
        </w:trPr>
        <w:tc>
          <w:tcPr>
            <w:tcW w:w="2494" w:type="dxa"/>
            <w:gridSpan w:val="2"/>
            <w:vMerge/>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4727E859"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368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61096CC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IX. alkalmassági kategória</w:t>
            </w:r>
          </w:p>
        </w:tc>
        <w:tc>
          <w:tcPr>
            <w:tcW w:w="2834"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419F155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X. alkalmassági kategória</w:t>
            </w:r>
          </w:p>
        </w:tc>
        <w:tc>
          <w:tcPr>
            <w:tcW w:w="232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0F01840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XI. alkalmassági kategória</w:t>
            </w:r>
          </w:p>
        </w:tc>
        <w:tc>
          <w:tcPr>
            <w:tcW w:w="260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79" w:type="dxa"/>
              <w:left w:w="79" w:type="dxa"/>
              <w:bottom w:w="79" w:type="dxa"/>
              <w:right w:w="79" w:type="dxa"/>
            </w:tcMar>
            <w:vAlign w:val="center"/>
          </w:tcPr>
          <w:p w14:paraId="483355A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XII. alkalmassági kategória</w:t>
            </w:r>
          </w:p>
        </w:tc>
      </w:tr>
      <w:tr w:rsidR="009E0896" w:rsidRPr="00DB54E3" w14:paraId="2617F34D" w14:textId="77777777" w:rsidTr="00612D46">
        <w:trPr>
          <w:trHeight w:val="60"/>
        </w:trPr>
        <w:tc>
          <w:tcPr>
            <w:tcW w:w="1247" w:type="dxa"/>
            <w:vMerge w:val="restart"/>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490CBF7"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Vezető</w:t>
            </w: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1ED6D37"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Egészségi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C83B07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Háziorvosi kérdőív a minimum feltételeknek történő megfelelésről (nincs kizáró betegség). Laboratóriumi vizsgálat (vérkép, vércukor, vesefunkció, májenzimprofil) értékek normál </w:t>
            </w:r>
            <w:proofErr w:type="gramStart"/>
            <w:r w:rsidRPr="00DB54E3">
              <w:rPr>
                <w:rFonts w:ascii="Times New Roman" w:hAnsi="Times New Roman" w:cs="Times New Roman"/>
                <w:sz w:val="20"/>
                <w:szCs w:val="18"/>
              </w:rPr>
              <w:t>tartományban;  EKG</w:t>
            </w:r>
            <w:proofErr w:type="gramEnd"/>
            <w:r w:rsidRPr="00DB54E3">
              <w:rPr>
                <w:rFonts w:ascii="Times New Roman" w:hAnsi="Times New Roman" w:cs="Times New Roman"/>
                <w:sz w:val="20"/>
                <w:szCs w:val="18"/>
              </w:rPr>
              <w:t xml:space="preserve"> papíralapú vizsgálati lelet (nem leletezett, a rendelőben is elvégezhető), egy évnél nem régebbi negatív mellkas RTG vizsgálat vagy tüdőszűrő vizsgálati lelet, alkalmassági vizsgálat során részletes anamnézisfelvétel (kizáró betegség nem detektálható) és paraméterek (vérnyomás, pulzus) rögzítése, részletes belgyógyászati szemléletű vizsgálat (negatív státusz)</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314DA9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negatív eredményű nőgyógyászati vizsgálat (nők), negatív eredményű urológiai vizsgálat (férfiak), színlátás egyszerű vizsgálati lelete (nincs kizáró tényező)</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2135A4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vagy hatósági szerepkör + negatív eredményű </w:t>
            </w:r>
            <w:proofErr w:type="spellStart"/>
            <w:r w:rsidRPr="00DB54E3">
              <w:rPr>
                <w:rFonts w:ascii="Times New Roman" w:hAnsi="Times New Roman" w:cs="Times New Roman"/>
                <w:sz w:val="20"/>
                <w:szCs w:val="18"/>
              </w:rPr>
              <w:t>audiológiai</w:t>
            </w:r>
            <w:proofErr w:type="spellEnd"/>
            <w:r w:rsidRPr="00DB54E3">
              <w:rPr>
                <w:rFonts w:ascii="Times New Roman" w:hAnsi="Times New Roman" w:cs="Times New Roman"/>
                <w:sz w:val="20"/>
                <w:szCs w:val="18"/>
              </w:rPr>
              <w:t xml:space="preserve"> vizsgálat lelete (halláscsökkenés nincs), szemészeti lelet, ahol a korrigálatlan látásélesség nem kisebb, mint 0,8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B7C2EB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adminisztratív szerepkör + beavatkozó vagy intézkedő szerepkör + kiterjesztett laborvizsgálat (vérkép, vesefunkció, májenzim, vérzsírok, mellékvese és agyalapi mirigy hormonszintek leleteredményei a normál tartományban, endokrinológiai szakvizsgálat (negatív státusz)</w:t>
            </w:r>
          </w:p>
        </w:tc>
      </w:tr>
      <w:tr w:rsidR="009E0896" w:rsidRPr="00DB54E3" w14:paraId="0B15981C" w14:textId="77777777" w:rsidTr="00612D46">
        <w:trPr>
          <w:trHeight w:val="60"/>
        </w:trPr>
        <w:tc>
          <w:tcPr>
            <w:tcW w:w="1247" w:type="dxa"/>
            <w:vMerge/>
            <w:tcBorders>
              <w:top w:val="single" w:sz="2" w:space="0" w:color="000000"/>
              <w:left w:val="single" w:sz="2" w:space="0" w:color="000000"/>
              <w:bottom w:val="single" w:sz="2" w:space="0" w:color="000000"/>
              <w:right w:val="single" w:sz="2" w:space="0" w:color="000000"/>
            </w:tcBorders>
          </w:tcPr>
          <w:p w14:paraId="7FDDA7E3"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57EA446"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Pszichológiai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6711887"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pszichológiai minimumfeltételek + vezetői kompetenciák</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BC6B9B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pszichológiai minimumfeltételek + vezetői kompetenciákat </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1CEECE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pszichológiai minimumfeltételek + vezetői kompetenciákat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A62604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pszichológiai minimumfeltételek + vezetői kompetenciákat </w:t>
            </w:r>
          </w:p>
        </w:tc>
      </w:tr>
      <w:tr w:rsidR="009E0896" w:rsidRPr="00DB54E3" w14:paraId="1B4E42F8" w14:textId="77777777" w:rsidTr="00612D46">
        <w:trPr>
          <w:trHeight w:val="60"/>
        </w:trPr>
        <w:tc>
          <w:tcPr>
            <w:tcW w:w="1247" w:type="dxa"/>
            <w:vMerge/>
            <w:tcBorders>
              <w:top w:val="single" w:sz="2" w:space="0" w:color="000000"/>
              <w:left w:val="single" w:sz="2" w:space="0" w:color="000000"/>
              <w:bottom w:val="single" w:sz="2" w:space="0" w:color="000000"/>
              <w:right w:val="single" w:sz="2" w:space="0" w:color="000000"/>
            </w:tcBorders>
          </w:tcPr>
          <w:p w14:paraId="567922BE"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124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036B23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w:t>
            </w:r>
          </w:p>
        </w:tc>
        <w:tc>
          <w:tcPr>
            <w:tcW w:w="3686"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D5E82C6"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fizikai minimumfeltétel minimumérték</w:t>
            </w:r>
          </w:p>
        </w:tc>
        <w:tc>
          <w:tcPr>
            <w:tcW w:w="283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DCBCDA2"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fizikai minimumfeltétel minimumérték + testi erő- és állóképességi teszten 2 választható mozgásformából elért legalább 26 pont</w:t>
            </w:r>
          </w:p>
        </w:tc>
        <w:tc>
          <w:tcPr>
            <w:tcW w:w="232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E9C90B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minimumfeltétel minimumérték + testi erő- és állóképességi teszten 3 választható mozgásformából elért legalább 38 pont </w:t>
            </w:r>
          </w:p>
        </w:tc>
        <w:tc>
          <w:tcPr>
            <w:tcW w:w="2607"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767FC7D"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fizikai minimumfeltétel minimumérték + Spárta 300 speciális állapotfelmérésen megfelelt </w:t>
            </w:r>
            <w:proofErr w:type="gramStart"/>
            <w:r w:rsidRPr="00DB54E3">
              <w:rPr>
                <w:rFonts w:ascii="Times New Roman" w:hAnsi="Times New Roman" w:cs="Times New Roman"/>
                <w:sz w:val="20"/>
                <w:szCs w:val="18"/>
              </w:rPr>
              <w:t>teljesítményérték  felvételi</w:t>
            </w:r>
            <w:proofErr w:type="gramEnd"/>
            <w:r w:rsidRPr="00DB54E3">
              <w:rPr>
                <w:rFonts w:ascii="Times New Roman" w:hAnsi="Times New Roman" w:cs="Times New Roman"/>
                <w:sz w:val="20"/>
                <w:szCs w:val="18"/>
              </w:rPr>
              <w:t xml:space="preserve"> eljárás során 50 perc alatti szintidő / legalább 1 pont, időszakos alkalmasságvizsgálat esetén 40 perc alatti szintidő / legalább 26 pont</w:t>
            </w:r>
          </w:p>
        </w:tc>
      </w:tr>
    </w:tbl>
    <w:p w14:paraId="246BEBBA"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 </w:t>
      </w:r>
    </w:p>
    <w:p w14:paraId="1C92DD19" w14:textId="77777777" w:rsidR="009E0896" w:rsidRPr="00DB54E3" w:rsidRDefault="009E0896" w:rsidP="009E0896">
      <w:pPr>
        <w:suppressAutoHyphens/>
        <w:autoSpaceDE w:val="0"/>
        <w:autoSpaceDN w:val="0"/>
        <w:adjustRightInd w:val="0"/>
        <w:spacing w:after="0" w:line="240" w:lineRule="auto"/>
        <w:ind w:left="964"/>
        <w:jc w:val="center"/>
        <w:textAlignment w:val="center"/>
        <w:rPr>
          <w:rFonts w:ascii="Times New Roman" w:hAnsi="Times New Roman" w:cs="Times New Roman"/>
          <w:b/>
          <w:bCs/>
          <w:sz w:val="20"/>
          <w:szCs w:val="19"/>
        </w:rPr>
      </w:pPr>
      <w:r w:rsidRPr="00DB54E3">
        <w:rPr>
          <w:rFonts w:ascii="Times New Roman" w:hAnsi="Times New Roman" w:cs="Times New Roman"/>
          <w:b/>
          <w:bCs/>
          <w:sz w:val="20"/>
          <w:szCs w:val="19"/>
        </w:rPr>
        <w:t>A büntetés-végrehajtási szervezet hivatásos állománya alkalmasságvizsgálati egészségi, pszichikai és fizikai kategória-feltételei</w:t>
      </w:r>
    </w:p>
    <w:p w14:paraId="4938C7FF" w14:textId="77777777" w:rsidR="009E0896" w:rsidRPr="00DB54E3" w:rsidRDefault="009E0896" w:rsidP="009E0896">
      <w:pPr>
        <w:suppressAutoHyphens/>
        <w:autoSpaceDE w:val="0"/>
        <w:autoSpaceDN w:val="0"/>
        <w:adjustRightInd w:val="0"/>
        <w:spacing w:after="0" w:line="240" w:lineRule="auto"/>
        <w:ind w:left="964"/>
        <w:jc w:val="both"/>
        <w:textAlignment w:val="center"/>
        <w:rPr>
          <w:rFonts w:ascii="Times New Roman" w:hAnsi="Times New Roman" w:cs="Times New Roman"/>
          <w:sz w:val="20"/>
          <w:szCs w:val="18"/>
        </w:rPr>
      </w:pPr>
    </w:p>
    <w:tbl>
      <w:tblPr>
        <w:tblW w:w="0" w:type="auto"/>
        <w:tblInd w:w="-3" w:type="dxa"/>
        <w:tblLayout w:type="fixed"/>
        <w:tblCellMar>
          <w:left w:w="0" w:type="dxa"/>
          <w:right w:w="0" w:type="dxa"/>
        </w:tblCellMar>
        <w:tblLook w:val="0000" w:firstRow="0" w:lastRow="0" w:firstColumn="0" w:lastColumn="0" w:noHBand="0" w:noVBand="0"/>
      </w:tblPr>
      <w:tblGrid>
        <w:gridCol w:w="952"/>
        <w:gridCol w:w="1355"/>
        <w:gridCol w:w="2710"/>
        <w:gridCol w:w="3568"/>
        <w:gridCol w:w="2812"/>
        <w:gridCol w:w="2544"/>
      </w:tblGrid>
      <w:tr w:rsidR="009E0896" w:rsidRPr="00DB54E3" w14:paraId="7C0DF6A1" w14:textId="77777777" w:rsidTr="00612D46">
        <w:trPr>
          <w:trHeight w:val="300"/>
        </w:trPr>
        <w:tc>
          <w:tcPr>
            <w:tcW w:w="2307" w:type="dxa"/>
            <w:gridSpan w:val="2"/>
            <w:vMerge w:val="restart"/>
            <w:tcBorders>
              <w:top w:val="single" w:sz="2" w:space="0" w:color="000000"/>
              <w:left w:val="single" w:sz="2" w:space="0" w:color="000000"/>
              <w:bottom w:val="single" w:sz="2" w:space="0" w:color="000000"/>
              <w:right w:val="single" w:sz="2" w:space="0" w:color="000000"/>
            </w:tcBorders>
            <w:shd w:val="solid" w:color="BFBFBF" w:fill="auto"/>
            <w:tcMar>
              <w:top w:w="79" w:type="dxa"/>
              <w:left w:w="79" w:type="dxa"/>
              <w:bottom w:w="79" w:type="dxa"/>
              <w:right w:w="79" w:type="dxa"/>
            </w:tcMar>
            <w:vAlign w:val="center"/>
          </w:tcPr>
          <w:p w14:paraId="225D5928"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2710"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2320D0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Támogató szerepkör</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5299F0E"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Adminisztratív vagy hatósági szerepkör</w:t>
            </w:r>
          </w:p>
        </w:tc>
        <w:tc>
          <w:tcPr>
            <w:tcW w:w="2812"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8C79ED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Beavatkozó vagy intézkedő szerepkör</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D25BE9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Speciális</w:t>
            </w:r>
          </w:p>
        </w:tc>
      </w:tr>
      <w:tr w:rsidR="009E0896" w:rsidRPr="00DB54E3" w14:paraId="37C4B835" w14:textId="77777777" w:rsidTr="00612D46">
        <w:trPr>
          <w:trHeight w:val="315"/>
        </w:trPr>
        <w:tc>
          <w:tcPr>
            <w:tcW w:w="2307" w:type="dxa"/>
            <w:gridSpan w:val="2"/>
            <w:vMerge/>
            <w:tcBorders>
              <w:top w:val="single" w:sz="2" w:space="0" w:color="000000"/>
              <w:left w:val="single" w:sz="2" w:space="0" w:color="000000"/>
              <w:bottom w:val="single" w:sz="2" w:space="0" w:color="000000"/>
              <w:right w:val="single" w:sz="2" w:space="0" w:color="000000"/>
            </w:tcBorders>
          </w:tcPr>
          <w:p w14:paraId="3EBB72C7"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2710"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382F128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 alkalmassági kategória</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0E6EE3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 alkalmassági kategória</w:t>
            </w:r>
          </w:p>
        </w:tc>
        <w:tc>
          <w:tcPr>
            <w:tcW w:w="2812"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364E2CD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III. alkalmassági kategória</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701A308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IV. alkalmassági kategória</w:t>
            </w:r>
          </w:p>
        </w:tc>
      </w:tr>
      <w:tr w:rsidR="009E0896" w:rsidRPr="00DB54E3" w14:paraId="0E028646" w14:textId="77777777" w:rsidTr="00612D46">
        <w:trPr>
          <w:trHeight w:val="315"/>
        </w:trPr>
        <w:tc>
          <w:tcPr>
            <w:tcW w:w="952"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0DBAB30"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Beosztott</w:t>
            </w:r>
          </w:p>
        </w:tc>
        <w:tc>
          <w:tcPr>
            <w:tcW w:w="135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643136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Szükséges egészségügyi vizsgálatok</w:t>
            </w:r>
          </w:p>
        </w:tc>
        <w:tc>
          <w:tcPr>
            <w:tcW w:w="2710"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664CFEE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Háziorvosi kérdőív a minimumfeltételeknek történő megfelelésről. Laboratóriumi vizsgálat (vérkép, vércukor, vesefunkció, májenzimprofil), EKG-szalag (nem leletezett, a rendelőben is elvégezhető), egy évnél nem régebbi mellkas RTG vizsgálat vagy tüdőszűrő vizsgálat lelet, alkalmassági vizsgálat során részletes anamnézisfelvétel és paraméterek (vérnyomás, pulzus) rögzítése, részletes belgyógyászati szemléletű vizsgálat­</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2DC00F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negatív eredményű nőgyógyászati vizsgálat (nők), negatív eredményű urológiai vizsgálat (férfiak), színlátás egyszerű vizsgálata színlátásvizsgáló könyvvel</w:t>
            </w:r>
          </w:p>
        </w:tc>
        <w:tc>
          <w:tcPr>
            <w:tcW w:w="2812"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3D1DF92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vagy hatósági szerepkör + negatív eredményű </w:t>
            </w:r>
            <w:proofErr w:type="spellStart"/>
            <w:r w:rsidRPr="00DB54E3">
              <w:rPr>
                <w:rFonts w:ascii="Times New Roman" w:hAnsi="Times New Roman" w:cs="Times New Roman"/>
                <w:sz w:val="20"/>
                <w:szCs w:val="18"/>
              </w:rPr>
              <w:t>audiológiai</w:t>
            </w:r>
            <w:proofErr w:type="spellEnd"/>
            <w:r w:rsidRPr="00DB54E3">
              <w:rPr>
                <w:rFonts w:ascii="Times New Roman" w:hAnsi="Times New Roman" w:cs="Times New Roman"/>
                <w:sz w:val="20"/>
                <w:szCs w:val="18"/>
              </w:rPr>
              <w:t xml:space="preserve"> vizsgálat lelete (halláscsökkenés nincs), szemészeti lelet, ahol a korrigálatlan látásélesség nem kisebb, mint 0,8</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1EBCC1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adminisztratív szerepkör + beavatkozó vagy intézkedő szerepkör + kiterjesztett laborvizsgálat (vérkép, vesefunkció, májenzim, vérzsírok, mellékvese és agyalapi mirigy hormonszintek meghatározása), endokrinológiai szakvizsgálat</w:t>
            </w:r>
          </w:p>
        </w:tc>
      </w:tr>
    </w:tbl>
    <w:p w14:paraId="4C12A2D8"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p>
    <w:tbl>
      <w:tblPr>
        <w:tblW w:w="0" w:type="auto"/>
        <w:tblInd w:w="-3" w:type="dxa"/>
        <w:tblLayout w:type="fixed"/>
        <w:tblCellMar>
          <w:left w:w="0" w:type="dxa"/>
          <w:right w:w="0" w:type="dxa"/>
        </w:tblCellMar>
        <w:tblLook w:val="0000" w:firstRow="0" w:lastRow="0" w:firstColumn="0" w:lastColumn="0" w:noHBand="0" w:noVBand="0"/>
      </w:tblPr>
      <w:tblGrid>
        <w:gridCol w:w="952"/>
        <w:gridCol w:w="1355"/>
        <w:gridCol w:w="2710"/>
        <w:gridCol w:w="3568"/>
        <w:gridCol w:w="2812"/>
        <w:gridCol w:w="2544"/>
      </w:tblGrid>
      <w:tr w:rsidR="009E0896" w:rsidRPr="00DB54E3" w14:paraId="00075398" w14:textId="77777777" w:rsidTr="00612D46">
        <w:trPr>
          <w:trHeight w:val="300"/>
        </w:trPr>
        <w:tc>
          <w:tcPr>
            <w:tcW w:w="2307" w:type="dxa"/>
            <w:gridSpan w:val="2"/>
            <w:vMerge w:val="restart"/>
            <w:tcBorders>
              <w:top w:val="single" w:sz="2" w:space="0" w:color="000000"/>
              <w:left w:val="single" w:sz="2" w:space="0" w:color="000000"/>
              <w:bottom w:val="single" w:sz="2" w:space="0" w:color="000000"/>
              <w:right w:val="single" w:sz="2" w:space="0" w:color="000000"/>
            </w:tcBorders>
            <w:shd w:val="solid" w:color="BFBFBF" w:fill="auto"/>
            <w:tcMar>
              <w:top w:w="79" w:type="dxa"/>
              <w:left w:w="79" w:type="dxa"/>
              <w:bottom w:w="79" w:type="dxa"/>
              <w:right w:w="79" w:type="dxa"/>
            </w:tcMar>
            <w:vAlign w:val="center"/>
          </w:tcPr>
          <w:p w14:paraId="01FE23EC"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2710"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DB4B3F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Támogató szerepkör</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869743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Adminisztratív vagy hatósági szerepkör</w:t>
            </w:r>
          </w:p>
        </w:tc>
        <w:tc>
          <w:tcPr>
            <w:tcW w:w="2812"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09C05C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Beavatkozó vagy intézkedő szerepkör</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C97363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Speciális</w:t>
            </w:r>
          </w:p>
        </w:tc>
      </w:tr>
      <w:tr w:rsidR="009E0896" w:rsidRPr="00DB54E3" w14:paraId="4765642A" w14:textId="77777777" w:rsidTr="00612D46">
        <w:trPr>
          <w:trHeight w:val="315"/>
        </w:trPr>
        <w:tc>
          <w:tcPr>
            <w:tcW w:w="2307" w:type="dxa"/>
            <w:gridSpan w:val="2"/>
            <w:vMerge/>
            <w:tcBorders>
              <w:top w:val="single" w:sz="2" w:space="0" w:color="000000"/>
              <w:left w:val="single" w:sz="2" w:space="0" w:color="000000"/>
              <w:bottom w:val="single" w:sz="2" w:space="0" w:color="000000"/>
              <w:right w:val="single" w:sz="2" w:space="0" w:color="000000"/>
            </w:tcBorders>
          </w:tcPr>
          <w:p w14:paraId="341E9482"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2710"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1434121A"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 alkalmassági kategória</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CA72C8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 alkalmassági kategória</w:t>
            </w:r>
          </w:p>
        </w:tc>
        <w:tc>
          <w:tcPr>
            <w:tcW w:w="2812"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246378D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III. alkalmassági kategória</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720262E"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IV. alkalmassági kategória</w:t>
            </w:r>
          </w:p>
        </w:tc>
      </w:tr>
      <w:tr w:rsidR="009E0896" w:rsidRPr="00DB54E3" w14:paraId="5D232291" w14:textId="77777777" w:rsidTr="00612D46">
        <w:trPr>
          <w:trHeight w:val="315"/>
        </w:trPr>
        <w:tc>
          <w:tcPr>
            <w:tcW w:w="952"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7C0749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Irányító</w:t>
            </w:r>
          </w:p>
        </w:tc>
        <w:tc>
          <w:tcPr>
            <w:tcW w:w="135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4D460D8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Szükséges egészségügyi vizsgálatok</w:t>
            </w:r>
          </w:p>
        </w:tc>
        <w:tc>
          <w:tcPr>
            <w:tcW w:w="2710"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1381451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Háziorvosi kérdőív a minimumfeltételeknek történő megfelelésről. Laboratóriumi vizsgálat (vérkép, vércukor, vesefunkció, májenzimprofil), EKG-szalag (nem leletezett, a rendelőben is elvégezhető), egy évnél nem régebbi mellkas RTG vizsgálat vagy tüdőszűrő vizsgálat lelet, </w:t>
            </w:r>
            <w:r w:rsidRPr="00DB54E3">
              <w:rPr>
                <w:rFonts w:ascii="Times New Roman" w:hAnsi="Times New Roman" w:cs="Times New Roman"/>
                <w:sz w:val="20"/>
                <w:szCs w:val="18"/>
              </w:rPr>
              <w:lastRenderedPageBreak/>
              <w:t>alkalmassági vizsgálat során részletes anamnézisfelvétel és paraméterek (vérnyomás, pulzus) rögzítése, részletes belgyógyászati szemléletű vizsgálat</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14354E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lastRenderedPageBreak/>
              <w:t>Támogató szerepkör + negatív eredményű nőgyógyászati vizsgálat (nők), negatív eredményű urológiai vizsgálat (férfiak), színlátás egyszerű vizsgálata színlátásvizsgáló könyvvel</w:t>
            </w:r>
          </w:p>
        </w:tc>
        <w:tc>
          <w:tcPr>
            <w:tcW w:w="2812"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6F1DC0F7"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vagy hatósági szerepkör + negatív eredményű </w:t>
            </w:r>
            <w:proofErr w:type="spellStart"/>
            <w:r w:rsidRPr="00DB54E3">
              <w:rPr>
                <w:rFonts w:ascii="Times New Roman" w:hAnsi="Times New Roman" w:cs="Times New Roman"/>
                <w:sz w:val="20"/>
                <w:szCs w:val="18"/>
              </w:rPr>
              <w:t>audiológiai</w:t>
            </w:r>
            <w:proofErr w:type="spellEnd"/>
            <w:r w:rsidRPr="00DB54E3">
              <w:rPr>
                <w:rFonts w:ascii="Times New Roman" w:hAnsi="Times New Roman" w:cs="Times New Roman"/>
                <w:sz w:val="20"/>
                <w:szCs w:val="18"/>
              </w:rPr>
              <w:t xml:space="preserve"> vizsgálat lelete (halláscsökkenés nincs), szemészeti lelet, ahol a korrigálatlan látásélesség nem kisebb mint 0,8</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380BEC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szerepkör + beavatkozó vagy intézkedő szerepkör + kiterjesztett laborvizsgálat (vérkép, vesefunkció, májenzim, vérzsírok, mellékvese és agyalapi mirigy hormonszintek </w:t>
            </w:r>
            <w:r w:rsidRPr="00DB54E3">
              <w:rPr>
                <w:rFonts w:ascii="Times New Roman" w:hAnsi="Times New Roman" w:cs="Times New Roman"/>
                <w:sz w:val="20"/>
                <w:szCs w:val="18"/>
              </w:rPr>
              <w:lastRenderedPageBreak/>
              <w:t>meghatározása), endokrinológiai szakvizsgálat</w:t>
            </w:r>
          </w:p>
        </w:tc>
      </w:tr>
    </w:tbl>
    <w:p w14:paraId="08A063FF"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p>
    <w:tbl>
      <w:tblPr>
        <w:tblW w:w="0" w:type="auto"/>
        <w:tblInd w:w="-3" w:type="dxa"/>
        <w:tblLayout w:type="fixed"/>
        <w:tblCellMar>
          <w:left w:w="0" w:type="dxa"/>
          <w:right w:w="0" w:type="dxa"/>
        </w:tblCellMar>
        <w:tblLook w:val="0000" w:firstRow="0" w:lastRow="0" w:firstColumn="0" w:lastColumn="0" w:noHBand="0" w:noVBand="0"/>
      </w:tblPr>
      <w:tblGrid>
        <w:gridCol w:w="952"/>
        <w:gridCol w:w="1355"/>
        <w:gridCol w:w="2710"/>
        <w:gridCol w:w="3568"/>
        <w:gridCol w:w="2812"/>
        <w:gridCol w:w="2544"/>
      </w:tblGrid>
      <w:tr w:rsidR="009E0896" w:rsidRPr="00DB54E3" w14:paraId="34E557C8" w14:textId="77777777" w:rsidTr="00612D46">
        <w:trPr>
          <w:trHeight w:val="300"/>
        </w:trPr>
        <w:tc>
          <w:tcPr>
            <w:tcW w:w="2307" w:type="dxa"/>
            <w:gridSpan w:val="2"/>
            <w:vMerge w:val="restart"/>
            <w:tcBorders>
              <w:top w:val="single" w:sz="2" w:space="0" w:color="000000"/>
              <w:left w:val="single" w:sz="2" w:space="0" w:color="000000"/>
              <w:bottom w:val="single" w:sz="2" w:space="0" w:color="000000"/>
              <w:right w:val="single" w:sz="2" w:space="0" w:color="000000"/>
            </w:tcBorders>
            <w:shd w:val="solid" w:color="BFBFBF" w:fill="auto"/>
            <w:tcMar>
              <w:top w:w="79" w:type="dxa"/>
              <w:left w:w="79" w:type="dxa"/>
              <w:bottom w:w="79" w:type="dxa"/>
              <w:right w:w="79" w:type="dxa"/>
            </w:tcMar>
            <w:vAlign w:val="center"/>
          </w:tcPr>
          <w:p w14:paraId="0C28D86D"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2710"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6037636"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Támogató szerepkör</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DDABA5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Adminisztratív vagy hatósági szerepkör</w:t>
            </w:r>
          </w:p>
        </w:tc>
        <w:tc>
          <w:tcPr>
            <w:tcW w:w="2812"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B2AF1A5"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Beavatkozó vagy intézkedő szerepkör</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9852B9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Speciális</w:t>
            </w:r>
          </w:p>
        </w:tc>
      </w:tr>
      <w:tr w:rsidR="009E0896" w:rsidRPr="00DB54E3" w14:paraId="36DF9AE5" w14:textId="77777777" w:rsidTr="00612D46">
        <w:trPr>
          <w:trHeight w:val="315"/>
        </w:trPr>
        <w:tc>
          <w:tcPr>
            <w:tcW w:w="2307" w:type="dxa"/>
            <w:gridSpan w:val="2"/>
            <w:vMerge/>
            <w:tcBorders>
              <w:top w:val="single" w:sz="2" w:space="0" w:color="000000"/>
              <w:left w:val="single" w:sz="2" w:space="0" w:color="000000"/>
              <w:bottom w:val="single" w:sz="2" w:space="0" w:color="000000"/>
              <w:right w:val="single" w:sz="2" w:space="0" w:color="000000"/>
            </w:tcBorders>
          </w:tcPr>
          <w:p w14:paraId="5D656208" w14:textId="77777777" w:rsidR="009E0896" w:rsidRPr="00DB54E3" w:rsidRDefault="009E0896" w:rsidP="00612D46">
            <w:pPr>
              <w:autoSpaceDE w:val="0"/>
              <w:autoSpaceDN w:val="0"/>
              <w:adjustRightInd w:val="0"/>
              <w:spacing w:after="0" w:line="240" w:lineRule="auto"/>
              <w:rPr>
                <w:rFonts w:ascii="Times New Roman" w:hAnsi="Times New Roman" w:cs="Times New Roman"/>
                <w:sz w:val="20"/>
              </w:rPr>
            </w:pPr>
          </w:p>
        </w:tc>
        <w:tc>
          <w:tcPr>
            <w:tcW w:w="2710"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156EA69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 alkalmassági kategória</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50F9FF51"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 alkalmassági kategória</w:t>
            </w:r>
          </w:p>
        </w:tc>
        <w:tc>
          <w:tcPr>
            <w:tcW w:w="2812"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21C4A80F"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III. alkalmassági kategória</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107014EE"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4"/>
              </w:rPr>
            </w:pPr>
            <w:r w:rsidRPr="00DB54E3">
              <w:rPr>
                <w:rFonts w:ascii="Times New Roman" w:hAnsi="Times New Roman" w:cs="Times New Roman"/>
                <w:sz w:val="20"/>
                <w:szCs w:val="14"/>
              </w:rPr>
              <w:t>IV. alkalmassági kategória</w:t>
            </w:r>
          </w:p>
        </w:tc>
      </w:tr>
      <w:tr w:rsidR="009E0896" w:rsidRPr="00DB54E3" w14:paraId="35800753" w14:textId="77777777" w:rsidTr="00612D46">
        <w:trPr>
          <w:trHeight w:val="315"/>
        </w:trPr>
        <w:tc>
          <w:tcPr>
            <w:tcW w:w="952"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3B461204"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Vezető</w:t>
            </w:r>
          </w:p>
        </w:tc>
        <w:tc>
          <w:tcPr>
            <w:tcW w:w="1355"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0A2E0098"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Szükséges egészségügyi vizsgálatok</w:t>
            </w:r>
          </w:p>
        </w:tc>
        <w:tc>
          <w:tcPr>
            <w:tcW w:w="2710"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21D9723B"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Háziorvosi kérdőív a minimumfeltételeknek történő megfelelésről. Laboratóriumi vizsgálat (vérkép, vércukor, vesefunkció, májenzimprofil), EKG-szalag (nem leletezett, a rendelőben is elvégezhető), egy évnél nem régebbi mellkas RTG vizsgálat vagy tüdőszűrő vizsgálat lelet, alkalmassági vizsgálat során részletes anamnézisfelvétel és paraméterek (vérnyomás, pulzus) rögzítése, részletes belgyógyászati szemléletű vizsgálat</w:t>
            </w:r>
          </w:p>
        </w:tc>
        <w:tc>
          <w:tcPr>
            <w:tcW w:w="3568"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2DFFFEF3"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negatív eredményű nőgyógyászati vizsgálat (nők), negatív eredményű urológiai vizsgálat (férfiak), színlátás egyszerű vizsgálata színlátásvizsgáló könyvvel</w:t>
            </w:r>
          </w:p>
        </w:tc>
        <w:tc>
          <w:tcPr>
            <w:tcW w:w="2812" w:type="dxa"/>
            <w:tcBorders>
              <w:top w:val="single" w:sz="2" w:space="0" w:color="000000"/>
              <w:left w:val="single" w:sz="2" w:space="0" w:color="000000"/>
              <w:bottom w:val="single" w:sz="2" w:space="0" w:color="000000"/>
              <w:right w:val="single" w:sz="2" w:space="0" w:color="000000"/>
            </w:tcBorders>
            <w:shd w:val="solid" w:color="D9D9D9" w:fill="auto"/>
            <w:tcMar>
              <w:top w:w="79" w:type="dxa"/>
              <w:left w:w="79" w:type="dxa"/>
              <w:bottom w:w="79" w:type="dxa"/>
              <w:right w:w="79" w:type="dxa"/>
            </w:tcMar>
            <w:vAlign w:val="center"/>
          </w:tcPr>
          <w:p w14:paraId="50E48EFC"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 xml:space="preserve">Támogató szerepkör + adminisztratív vagy hatósági szerepkör + negatív eredményű </w:t>
            </w:r>
            <w:proofErr w:type="spellStart"/>
            <w:r w:rsidRPr="00DB54E3">
              <w:rPr>
                <w:rFonts w:ascii="Times New Roman" w:hAnsi="Times New Roman" w:cs="Times New Roman"/>
                <w:sz w:val="20"/>
                <w:szCs w:val="18"/>
              </w:rPr>
              <w:t>audiológiai</w:t>
            </w:r>
            <w:proofErr w:type="spellEnd"/>
            <w:r w:rsidRPr="00DB54E3">
              <w:rPr>
                <w:rFonts w:ascii="Times New Roman" w:hAnsi="Times New Roman" w:cs="Times New Roman"/>
                <w:sz w:val="20"/>
                <w:szCs w:val="18"/>
              </w:rPr>
              <w:t xml:space="preserve"> vizsgálat lelete (halláscsökkenés nincs), szemészeti lelet, ahol a korrigálatlan látásélesség nem kisebb mint 0,8</w:t>
            </w:r>
          </w:p>
        </w:tc>
        <w:tc>
          <w:tcPr>
            <w:tcW w:w="2544" w:type="dxa"/>
            <w:tcBorders>
              <w:top w:val="single" w:sz="2" w:space="0" w:color="000000"/>
              <w:left w:val="single" w:sz="2" w:space="0" w:color="000000"/>
              <w:bottom w:val="single" w:sz="2" w:space="0" w:color="000000"/>
              <w:right w:val="single" w:sz="2" w:space="0" w:color="000000"/>
            </w:tcBorders>
            <w:tcMar>
              <w:top w:w="79" w:type="dxa"/>
              <w:left w:w="79" w:type="dxa"/>
              <w:bottom w:w="79" w:type="dxa"/>
              <w:right w:w="79" w:type="dxa"/>
            </w:tcMar>
            <w:vAlign w:val="center"/>
          </w:tcPr>
          <w:p w14:paraId="6B4E4A29" w14:textId="77777777" w:rsidR="009E0896" w:rsidRPr="00DB54E3" w:rsidRDefault="009E0896" w:rsidP="00612D46">
            <w:pPr>
              <w:suppressAutoHyphens/>
              <w:autoSpaceDE w:val="0"/>
              <w:autoSpaceDN w:val="0"/>
              <w:adjustRightInd w:val="0"/>
              <w:spacing w:after="0" w:line="240" w:lineRule="auto"/>
              <w:jc w:val="center"/>
              <w:textAlignment w:val="center"/>
              <w:rPr>
                <w:rFonts w:ascii="Times New Roman" w:hAnsi="Times New Roman" w:cs="Times New Roman"/>
                <w:sz w:val="20"/>
                <w:szCs w:val="18"/>
              </w:rPr>
            </w:pPr>
            <w:r w:rsidRPr="00DB54E3">
              <w:rPr>
                <w:rFonts w:ascii="Times New Roman" w:hAnsi="Times New Roman" w:cs="Times New Roman"/>
                <w:sz w:val="20"/>
                <w:szCs w:val="18"/>
              </w:rPr>
              <w:t>Támogató szerepkör + adminisztratív szerepkör + beavatkozó vagy intézkedő szerepkör + kiterjesztett laborvizsgálat (vérkép, vesefunkció, májenzim, vérzsírok, mellékvese és agyalapi mirigy hormonszintek meghatározása), endokrinológiai szakvizsgálat</w:t>
            </w:r>
          </w:p>
        </w:tc>
      </w:tr>
    </w:tbl>
    <w:p w14:paraId="0BA5BB85" w14:textId="77777777" w:rsidR="009E0896" w:rsidRPr="00DB54E3" w:rsidRDefault="009E0896" w:rsidP="009E0896">
      <w:pPr>
        <w:suppressAutoHyphens/>
        <w:autoSpaceDE w:val="0"/>
        <w:autoSpaceDN w:val="0"/>
        <w:adjustRightInd w:val="0"/>
        <w:spacing w:after="0" w:line="240" w:lineRule="auto"/>
        <w:jc w:val="both"/>
        <w:textAlignment w:val="center"/>
        <w:rPr>
          <w:rFonts w:ascii="Times New Roman" w:hAnsi="Times New Roman" w:cs="Times New Roman"/>
          <w:sz w:val="20"/>
          <w:szCs w:val="18"/>
        </w:rPr>
      </w:pPr>
    </w:p>
    <w:sectPr w:rsidR="009E0896" w:rsidRPr="00DB54E3" w:rsidSect="009E089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96"/>
    <w:rsid w:val="00393082"/>
    <w:rsid w:val="004959EA"/>
    <w:rsid w:val="006043E5"/>
    <w:rsid w:val="009E0896"/>
    <w:rsid w:val="00CC4999"/>
    <w:rsid w:val="00DA5D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9AE8"/>
  <w15:chartTrackingRefBased/>
  <w15:docId w15:val="{7DA74501-E5D3-4A23-9C69-F6B232ED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E0896"/>
    <w:rPr>
      <w:rFonts w:eastAsiaTheme="minorEastAsia"/>
      <w:lang w:eastAsia="hu-HU"/>
    </w:rPr>
  </w:style>
  <w:style w:type="paragraph" w:styleId="Cmsor1">
    <w:name w:val="heading 1"/>
    <w:basedOn w:val="Norml"/>
    <w:next w:val="Norml"/>
    <w:link w:val="Cmsor1Char"/>
    <w:uiPriority w:val="9"/>
    <w:qFormat/>
    <w:rsid w:val="009E0896"/>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Cmsor2">
    <w:name w:val="heading 2"/>
    <w:basedOn w:val="Norml"/>
    <w:next w:val="Norml"/>
    <w:link w:val="Cmsor2Char"/>
    <w:uiPriority w:val="9"/>
    <w:semiHidden/>
    <w:unhideWhenUsed/>
    <w:qFormat/>
    <w:rsid w:val="009E0896"/>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Cmsor3">
    <w:name w:val="heading 3"/>
    <w:basedOn w:val="Norml"/>
    <w:next w:val="Norml"/>
    <w:link w:val="Cmsor3Char"/>
    <w:uiPriority w:val="9"/>
    <w:semiHidden/>
    <w:unhideWhenUsed/>
    <w:qFormat/>
    <w:rsid w:val="009E0896"/>
    <w:pPr>
      <w:keepNext/>
      <w:keepLines/>
      <w:spacing w:before="160" w:after="80"/>
      <w:outlineLvl w:val="2"/>
    </w:pPr>
    <w:rPr>
      <w:rFonts w:eastAsiaTheme="majorEastAsia" w:cstheme="majorBidi"/>
      <w:color w:val="0F4761" w:themeColor="accent1" w:themeShade="BF"/>
      <w:sz w:val="28"/>
      <w:szCs w:val="28"/>
      <w:lang w:eastAsia="en-US"/>
    </w:rPr>
  </w:style>
  <w:style w:type="paragraph" w:styleId="Cmsor4">
    <w:name w:val="heading 4"/>
    <w:basedOn w:val="Norml"/>
    <w:next w:val="Norml"/>
    <w:link w:val="Cmsor4Char"/>
    <w:uiPriority w:val="9"/>
    <w:semiHidden/>
    <w:unhideWhenUsed/>
    <w:qFormat/>
    <w:rsid w:val="009E0896"/>
    <w:pPr>
      <w:keepNext/>
      <w:keepLines/>
      <w:spacing w:before="80" w:after="40"/>
      <w:outlineLvl w:val="3"/>
    </w:pPr>
    <w:rPr>
      <w:rFonts w:eastAsiaTheme="majorEastAsia" w:cstheme="majorBidi"/>
      <w:i/>
      <w:iCs/>
      <w:color w:val="0F4761" w:themeColor="accent1" w:themeShade="BF"/>
      <w:lang w:eastAsia="en-US"/>
    </w:rPr>
  </w:style>
  <w:style w:type="paragraph" w:styleId="Cmsor5">
    <w:name w:val="heading 5"/>
    <w:basedOn w:val="Norml"/>
    <w:next w:val="Norml"/>
    <w:link w:val="Cmsor5Char"/>
    <w:uiPriority w:val="9"/>
    <w:semiHidden/>
    <w:unhideWhenUsed/>
    <w:qFormat/>
    <w:rsid w:val="009E0896"/>
    <w:pPr>
      <w:keepNext/>
      <w:keepLines/>
      <w:spacing w:before="80" w:after="40"/>
      <w:outlineLvl w:val="4"/>
    </w:pPr>
    <w:rPr>
      <w:rFonts w:eastAsiaTheme="majorEastAsia" w:cstheme="majorBidi"/>
      <w:color w:val="0F4761" w:themeColor="accent1" w:themeShade="BF"/>
      <w:lang w:eastAsia="en-US"/>
    </w:rPr>
  </w:style>
  <w:style w:type="paragraph" w:styleId="Cmsor6">
    <w:name w:val="heading 6"/>
    <w:basedOn w:val="Norml"/>
    <w:next w:val="Norml"/>
    <w:link w:val="Cmsor6Char"/>
    <w:uiPriority w:val="9"/>
    <w:semiHidden/>
    <w:unhideWhenUsed/>
    <w:qFormat/>
    <w:rsid w:val="009E0896"/>
    <w:pPr>
      <w:keepNext/>
      <w:keepLines/>
      <w:spacing w:before="40" w:after="0"/>
      <w:outlineLvl w:val="5"/>
    </w:pPr>
    <w:rPr>
      <w:rFonts w:eastAsiaTheme="majorEastAsia" w:cstheme="majorBidi"/>
      <w:i/>
      <w:iCs/>
      <w:color w:val="595959" w:themeColor="text1" w:themeTint="A6"/>
      <w:lang w:eastAsia="en-US"/>
    </w:rPr>
  </w:style>
  <w:style w:type="paragraph" w:styleId="Cmsor7">
    <w:name w:val="heading 7"/>
    <w:basedOn w:val="Norml"/>
    <w:next w:val="Norml"/>
    <w:link w:val="Cmsor7Char"/>
    <w:uiPriority w:val="9"/>
    <w:semiHidden/>
    <w:unhideWhenUsed/>
    <w:qFormat/>
    <w:rsid w:val="009E0896"/>
    <w:pPr>
      <w:keepNext/>
      <w:keepLines/>
      <w:spacing w:before="40" w:after="0"/>
      <w:outlineLvl w:val="6"/>
    </w:pPr>
    <w:rPr>
      <w:rFonts w:eastAsiaTheme="majorEastAsia" w:cstheme="majorBidi"/>
      <w:color w:val="595959" w:themeColor="text1" w:themeTint="A6"/>
      <w:lang w:eastAsia="en-US"/>
    </w:rPr>
  </w:style>
  <w:style w:type="paragraph" w:styleId="Cmsor8">
    <w:name w:val="heading 8"/>
    <w:basedOn w:val="Norml"/>
    <w:next w:val="Norml"/>
    <w:link w:val="Cmsor8Char"/>
    <w:uiPriority w:val="9"/>
    <w:semiHidden/>
    <w:unhideWhenUsed/>
    <w:qFormat/>
    <w:rsid w:val="009E0896"/>
    <w:pPr>
      <w:keepNext/>
      <w:keepLines/>
      <w:spacing w:after="0"/>
      <w:outlineLvl w:val="7"/>
    </w:pPr>
    <w:rPr>
      <w:rFonts w:eastAsiaTheme="majorEastAsia" w:cstheme="majorBidi"/>
      <w:i/>
      <w:iCs/>
      <w:color w:val="272727" w:themeColor="text1" w:themeTint="D8"/>
      <w:lang w:eastAsia="en-US"/>
    </w:rPr>
  </w:style>
  <w:style w:type="paragraph" w:styleId="Cmsor9">
    <w:name w:val="heading 9"/>
    <w:basedOn w:val="Norml"/>
    <w:next w:val="Norml"/>
    <w:link w:val="Cmsor9Char"/>
    <w:uiPriority w:val="9"/>
    <w:semiHidden/>
    <w:unhideWhenUsed/>
    <w:qFormat/>
    <w:rsid w:val="009E0896"/>
    <w:pPr>
      <w:keepNext/>
      <w:keepLines/>
      <w:spacing w:after="0"/>
      <w:outlineLvl w:val="8"/>
    </w:pPr>
    <w:rPr>
      <w:rFonts w:eastAsiaTheme="majorEastAsia" w:cstheme="majorBidi"/>
      <w:color w:val="272727" w:themeColor="text1" w:themeTint="D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0896"/>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9E0896"/>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9E0896"/>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9E0896"/>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9E0896"/>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9E0896"/>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9E0896"/>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9E0896"/>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9E0896"/>
    <w:rPr>
      <w:rFonts w:eastAsiaTheme="majorEastAsia" w:cstheme="majorBidi"/>
      <w:color w:val="272727" w:themeColor="text1" w:themeTint="D8"/>
    </w:rPr>
  </w:style>
  <w:style w:type="paragraph" w:styleId="Cm">
    <w:name w:val="Title"/>
    <w:basedOn w:val="Norml"/>
    <w:next w:val="Norml"/>
    <w:link w:val="CmChar"/>
    <w:uiPriority w:val="10"/>
    <w:qFormat/>
    <w:rsid w:val="009E0896"/>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mChar">
    <w:name w:val="Cím Char"/>
    <w:basedOn w:val="Bekezdsalapbettpusa"/>
    <w:link w:val="Cm"/>
    <w:uiPriority w:val="10"/>
    <w:rsid w:val="009E0896"/>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9E0896"/>
    <w:pPr>
      <w:numPr>
        <w:ilvl w:val="1"/>
      </w:numPr>
    </w:pPr>
    <w:rPr>
      <w:rFonts w:eastAsiaTheme="majorEastAsia" w:cstheme="majorBidi"/>
      <w:color w:val="595959" w:themeColor="text1" w:themeTint="A6"/>
      <w:spacing w:val="15"/>
      <w:sz w:val="28"/>
      <w:szCs w:val="28"/>
      <w:lang w:eastAsia="en-US"/>
    </w:rPr>
  </w:style>
  <w:style w:type="character" w:customStyle="1" w:styleId="AlcmChar">
    <w:name w:val="Alcím Char"/>
    <w:basedOn w:val="Bekezdsalapbettpusa"/>
    <w:link w:val="Alcm"/>
    <w:uiPriority w:val="11"/>
    <w:rsid w:val="009E0896"/>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9E0896"/>
    <w:pPr>
      <w:spacing w:before="160"/>
      <w:jc w:val="center"/>
    </w:pPr>
    <w:rPr>
      <w:rFonts w:eastAsiaTheme="minorHAnsi"/>
      <w:i/>
      <w:iCs/>
      <w:color w:val="404040" w:themeColor="text1" w:themeTint="BF"/>
      <w:lang w:eastAsia="en-US"/>
    </w:rPr>
  </w:style>
  <w:style w:type="character" w:customStyle="1" w:styleId="IdzetChar">
    <w:name w:val="Idézet Char"/>
    <w:basedOn w:val="Bekezdsalapbettpusa"/>
    <w:link w:val="Idzet"/>
    <w:uiPriority w:val="29"/>
    <w:rsid w:val="009E0896"/>
    <w:rPr>
      <w:i/>
      <w:iCs/>
      <w:color w:val="404040" w:themeColor="text1" w:themeTint="BF"/>
    </w:rPr>
  </w:style>
  <w:style w:type="paragraph" w:styleId="Listaszerbekezds">
    <w:name w:val="List Paragraph"/>
    <w:basedOn w:val="Norml"/>
    <w:uiPriority w:val="34"/>
    <w:qFormat/>
    <w:rsid w:val="009E0896"/>
    <w:pPr>
      <w:ind w:left="720"/>
      <w:contextualSpacing/>
    </w:pPr>
    <w:rPr>
      <w:rFonts w:eastAsiaTheme="minorHAnsi"/>
      <w:lang w:eastAsia="en-US"/>
    </w:rPr>
  </w:style>
  <w:style w:type="character" w:styleId="Erskiemels">
    <w:name w:val="Intense Emphasis"/>
    <w:basedOn w:val="Bekezdsalapbettpusa"/>
    <w:uiPriority w:val="21"/>
    <w:qFormat/>
    <w:rsid w:val="009E0896"/>
    <w:rPr>
      <w:i/>
      <w:iCs/>
      <w:color w:val="0F4761" w:themeColor="accent1" w:themeShade="BF"/>
    </w:rPr>
  </w:style>
  <w:style w:type="paragraph" w:styleId="Kiemeltidzet">
    <w:name w:val="Intense Quote"/>
    <w:basedOn w:val="Norml"/>
    <w:next w:val="Norml"/>
    <w:link w:val="KiemeltidzetChar"/>
    <w:uiPriority w:val="30"/>
    <w:qFormat/>
    <w:rsid w:val="009E089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KiemeltidzetChar">
    <w:name w:val="Kiemelt idézet Char"/>
    <w:basedOn w:val="Bekezdsalapbettpusa"/>
    <w:link w:val="Kiemeltidzet"/>
    <w:uiPriority w:val="30"/>
    <w:rsid w:val="009E0896"/>
    <w:rPr>
      <w:i/>
      <w:iCs/>
      <w:color w:val="0F4761" w:themeColor="accent1" w:themeShade="BF"/>
    </w:rPr>
  </w:style>
  <w:style w:type="character" w:styleId="Ershivatkozs">
    <w:name w:val="Intense Reference"/>
    <w:basedOn w:val="Bekezdsalapbettpusa"/>
    <w:uiPriority w:val="32"/>
    <w:qFormat/>
    <w:rsid w:val="009E08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1408</Words>
  <Characters>9719</Characters>
  <Application>Microsoft Office Word</Application>
  <DocSecurity>0</DocSecurity>
  <Lines>80</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Jantó Péter</dc:creator>
  <cp:keywords/>
  <dc:description/>
  <cp:lastModifiedBy>Jantó Péter</cp:lastModifiedBy>
  <cp:revision>1</cp:revision>
  <dcterms:created xsi:type="dcterms:W3CDTF">2026-03-20T07:51:00Z</dcterms:created>
  <dcterms:modified xsi:type="dcterms:W3CDTF">2026-03-20T07:54:00Z</dcterms:modified>
</cp:coreProperties>
</file>