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5B3D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5B3D">
        <w:rPr>
          <w:rFonts w:ascii="Times New Roman" w:eastAsia="Calibri" w:hAnsi="Times New Roman" w:cs="Times New Roman"/>
          <w:b/>
          <w:sz w:val="24"/>
          <w:szCs w:val="24"/>
        </w:rPr>
        <w:t>18. §-ában foglaltaknak megfelelően eljárva az alábbiak szerint indokolom:</w:t>
      </w:r>
    </w:p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B3D">
        <w:rPr>
          <w:rFonts w:ascii="Times New Roman" w:eastAsia="Calibri" w:hAnsi="Times New Roman" w:cs="Times New Roman"/>
          <w:sz w:val="24"/>
          <w:szCs w:val="24"/>
        </w:rPr>
        <w:t>ÁLTALÁNOS INDOKOLÁS</w:t>
      </w:r>
    </w:p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5B3D" w:rsidRPr="00345B3D" w:rsidRDefault="00345B3D" w:rsidP="0034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B3D">
        <w:rPr>
          <w:rFonts w:ascii="Times New Roman" w:eastAsia="Calibri" w:hAnsi="Times New Roman" w:cs="Times New Roman"/>
          <w:sz w:val="24"/>
          <w:szCs w:val="24"/>
        </w:rPr>
        <w:t>Az Alaptörvény 32. cikk (2) bekezdésében kapott felhatalmazás alapján az önkormányzat rendelettel kíván megfelelni annak a követelménynek, amely a nemzeti vagyon egészét képező állami és helyi önkormányzati vagyonra vonatkozó egységes szabályozás és vagyongazdálkodási alapelvek rögzítésére megalkotott törvényekben foglalt elvárásoknak</w:t>
      </w:r>
    </w:p>
    <w:p w:rsidR="00345B3D" w:rsidRPr="00345B3D" w:rsidRDefault="00345B3D" w:rsidP="00345B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5B3D">
        <w:rPr>
          <w:rFonts w:ascii="Times New Roman" w:eastAsia="Calibri" w:hAnsi="Times New Roman" w:cs="Times New Roman"/>
          <w:sz w:val="24"/>
          <w:szCs w:val="24"/>
        </w:rPr>
        <w:t>megfelel.</w:t>
      </w:r>
    </w:p>
    <w:p w:rsidR="00345B3D" w:rsidRPr="00345B3D" w:rsidRDefault="00345B3D" w:rsidP="0034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5B3D" w:rsidRPr="00345B3D" w:rsidRDefault="00345B3D" w:rsidP="00345B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B3D">
        <w:rPr>
          <w:rFonts w:ascii="Times New Roman" w:eastAsia="Calibri" w:hAnsi="Times New Roman" w:cs="Times New Roman"/>
          <w:sz w:val="24"/>
          <w:szCs w:val="24"/>
        </w:rPr>
        <w:t>Magyarország helyi önkormányzatairól szóló 2011. évi CLXXXIX. törvény 110. § (2) bekezdésére, valamint az államháztartásról szóló 2011. évi CXCV. törvény 91.§ (2) bekezdés c) pontja szerint. Ennek lényege, hogy az éves zárszámadáshoz a vagyonállapotról vagyonkimutatást kell készíteni. E kötelezettség teljesítéséhez elengedhetetlen a vagyonrendeltünk felülvizsgálata.</w:t>
      </w:r>
    </w:p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5B3D">
        <w:rPr>
          <w:rFonts w:ascii="Times New Roman" w:eastAsia="Calibri" w:hAnsi="Times New Roman" w:cs="Times New Roman"/>
          <w:sz w:val="24"/>
          <w:szCs w:val="24"/>
        </w:rPr>
        <w:t>RÉSZLETES INDOKOLÁS</w:t>
      </w:r>
    </w:p>
    <w:p w:rsidR="00345B3D" w:rsidRPr="00345B3D" w:rsidRDefault="00345B3D" w:rsidP="00345B3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5B3D" w:rsidRPr="00345B3D" w:rsidRDefault="00345B3D" w:rsidP="00345B3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45B3D" w:rsidRPr="00345B3D" w:rsidRDefault="00345B3D" w:rsidP="0034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1. §-ához: </w:t>
      </w:r>
      <w:r w:rsidRPr="00345B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</w:p>
    <w:p w:rsidR="00345B3D" w:rsidRPr="00345B3D" w:rsidRDefault="00345B3D" w:rsidP="00345B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color w:val="000000"/>
          <w:sz w:val="24"/>
          <w:szCs w:val="24"/>
        </w:rPr>
        <w:t>A csopaki 1168 helyrajzi számon nyilvántartott, „kivett beépítetlen terület” megnevezésű, 1074 m2 nagyságú ingatlan 4/28-ad tulajdoni illetőségét az Önkormányzat ajándékozás jogcímén szerezte meg Csollány Istvántól.</w:t>
      </w:r>
    </w:p>
    <w:p w:rsidR="00345B3D" w:rsidRPr="00345B3D" w:rsidRDefault="00345B3D" w:rsidP="00345B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csopaki 0194/2 helyrajzi számon nyilvántartott, „kivett közút” megnevezésű ingatlan megnevezésének módosítása „kivett beépítetlen területre” az ingatlan-nyilvántartásban átvezetésre került, a forgalomképtelen vagyoni körből a forgalomképes vagyonelemek közé kell sorolni. </w:t>
      </w:r>
    </w:p>
    <w:p w:rsidR="00345B3D" w:rsidRPr="00345B3D" w:rsidRDefault="00345B3D" w:rsidP="00345B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csopaki 0194/5 helyrajzi számon nyilvántartott, „kivett árok” megnevezésű ingatlan megnevezésének módosítása „kivett beépítetlen területre” az ingatlan-nyilvántartásban átvezetésre került, a forgalomképtelen vagyoni körből a forgalomképes vagyonelemek közé kell sorolni. </w:t>
      </w:r>
    </w:p>
    <w:p w:rsidR="00345B3D" w:rsidRPr="00345B3D" w:rsidRDefault="00345B3D" w:rsidP="00345B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csopaki 0194/7 helyrajzi számon nyilvántartott, „kivett közút” megnevezésű ingatlan megnevezésének módosítása „kivett beépítetlen területre” az ingatlan-nyilvántartásban átvezetésre került, a forgalomképtelen vagyoni körből a forgalomképes vagyonelemek közé kell sorolni. </w:t>
      </w:r>
    </w:p>
    <w:p w:rsidR="00345B3D" w:rsidRPr="00345B3D" w:rsidRDefault="00345B3D" w:rsidP="00345B3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45B3D" w:rsidRPr="00345B3D" w:rsidRDefault="00345B3D" w:rsidP="0034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2. §-ához:</w:t>
      </w:r>
      <w:r w:rsidRPr="00345B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5B3D">
        <w:rPr>
          <w:rFonts w:ascii="Times New Roman" w:eastAsia="Calibri" w:hAnsi="Times New Roman" w:cs="Times New Roman"/>
          <w:color w:val="000000"/>
          <w:sz w:val="24"/>
          <w:szCs w:val="24"/>
        </w:rPr>
        <w:t>A csopaki 0247/15 helyrajzi számon nyilvántartott, „kivett közforgalom elöl elzárt magánút” megnevezésű, 257 m2 nagyságú ingatlant az Önkormányzat értékesítette a szomszédos ingatlanok tulajdonosa, Fekete Zsófia részére. A forgalomképes üzleti vagyonból törölni kell.</w:t>
      </w:r>
    </w:p>
    <w:p w:rsidR="00345B3D" w:rsidRPr="00345B3D" w:rsidRDefault="00345B3D" w:rsidP="00345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 §-ához: </w:t>
      </w:r>
      <w:r w:rsidRPr="00345B3D">
        <w:rPr>
          <w:rFonts w:ascii="Times New Roman" w:eastAsia="Calibri" w:hAnsi="Times New Roman" w:cs="Times New Roman"/>
          <w:color w:val="000000"/>
          <w:sz w:val="24"/>
          <w:szCs w:val="24"/>
        </w:rPr>
        <w:t>Az ingatlan-nyilvántartásban már átvezetésre került forgalomképtelen vagyoni körből törölni szükséges az érintett ingatlanokat az 1.§-nak megfelelően.</w:t>
      </w:r>
    </w:p>
    <w:p w:rsidR="00345B3D" w:rsidRPr="00345B3D" w:rsidRDefault="00345B3D" w:rsidP="00345B3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5B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4. §-ához:</w:t>
      </w:r>
      <w:r w:rsidRPr="00345B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módosító rendelet hatályba lépéséről rendelkezik.</w:t>
      </w:r>
    </w:p>
    <w:p w:rsidR="00BA09E3" w:rsidRPr="00345B3D" w:rsidRDefault="00BA09E3" w:rsidP="00345B3D">
      <w:pPr>
        <w:spacing w:after="0" w:line="240" w:lineRule="auto"/>
        <w:rPr>
          <w:rFonts w:ascii="Times New Roman" w:eastAsia="Calibri" w:hAnsi="Times New Roman" w:cs="Times New Roman"/>
          <w:u w:val="single"/>
        </w:rPr>
      </w:pPr>
      <w:bookmarkStart w:id="0" w:name="_GoBack"/>
      <w:bookmarkEnd w:id="0"/>
    </w:p>
    <w:sectPr w:rsidR="00BA09E3" w:rsidRPr="00345B3D" w:rsidSect="00DE43D8">
      <w:foot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277" w:rsidRDefault="00CD1277" w:rsidP="00345B3D">
      <w:pPr>
        <w:spacing w:after="0" w:line="240" w:lineRule="auto"/>
      </w:pPr>
      <w:r>
        <w:separator/>
      </w:r>
    </w:p>
  </w:endnote>
  <w:endnote w:type="continuationSeparator" w:id="0">
    <w:p w:rsidR="00CD1277" w:rsidRDefault="00CD1277" w:rsidP="00345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3D" w:rsidRDefault="00345B3D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345B3D" w:rsidRDefault="00345B3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277" w:rsidRDefault="00CD1277" w:rsidP="00345B3D">
      <w:pPr>
        <w:spacing w:after="0" w:line="240" w:lineRule="auto"/>
      </w:pPr>
      <w:r>
        <w:separator/>
      </w:r>
    </w:p>
  </w:footnote>
  <w:footnote w:type="continuationSeparator" w:id="0">
    <w:p w:rsidR="00CD1277" w:rsidRDefault="00CD1277" w:rsidP="00345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F41CF"/>
    <w:multiLevelType w:val="hybridMultilevel"/>
    <w:tmpl w:val="B7FA95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B3D"/>
    <w:rsid w:val="00345B3D"/>
    <w:rsid w:val="00BA09E3"/>
    <w:rsid w:val="00CD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BD93"/>
  <w15:chartTrackingRefBased/>
  <w15:docId w15:val="{FC943C84-6183-49CC-83AE-0457AC86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345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345B3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345B3D"/>
    <w:rPr>
      <w:vertAlign w:val="superscript"/>
    </w:rPr>
  </w:style>
  <w:style w:type="paragraph" w:styleId="llb">
    <w:name w:val="footer"/>
    <w:basedOn w:val="Norml"/>
    <w:link w:val="llbChar"/>
    <w:unhideWhenUsed/>
    <w:rsid w:val="00345B3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345B3D"/>
    <w:rPr>
      <w:rFonts w:ascii="Times New Roman" w:eastAsia="Calibri" w:hAnsi="Times New Roman" w:cs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45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45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1</cp:revision>
  <dcterms:created xsi:type="dcterms:W3CDTF">2019-05-21T15:33:00Z</dcterms:created>
  <dcterms:modified xsi:type="dcterms:W3CDTF">2019-05-21T15:35:00Z</dcterms:modified>
</cp:coreProperties>
</file>