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F3422" w14:textId="77777777" w:rsidR="007223B2" w:rsidRDefault="007223B2" w:rsidP="007223B2">
      <w:pPr>
        <w:jc w:val="center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HATÁSVIZSGÁLATI LAP</w:t>
      </w:r>
    </w:p>
    <w:p w14:paraId="78FFC195" w14:textId="569AAC8D" w:rsidR="007223B2" w:rsidRDefault="007223B2" w:rsidP="007223B2">
      <w:pPr>
        <w:jc w:val="center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Ábrahámhegy Község Önkormányzata Képviselő-testületének</w:t>
      </w:r>
    </w:p>
    <w:p w14:paraId="06B26B0B" w14:textId="77777777" w:rsidR="007223B2" w:rsidRDefault="007223B2" w:rsidP="007223B2">
      <w:pPr>
        <w:jc w:val="center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 xml:space="preserve">az önkormányzat 2020. évi költségvetéséről szóló </w:t>
      </w:r>
    </w:p>
    <w:p w14:paraId="05C1267E" w14:textId="77777777" w:rsidR="007223B2" w:rsidRDefault="007223B2" w:rsidP="007223B2">
      <w:pPr>
        <w:jc w:val="center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…/2020. (…</w:t>
      </w:r>
      <w:proofErr w:type="gramStart"/>
      <w:r>
        <w:rPr>
          <w:rFonts w:ascii="Garamond" w:hAnsi="Garamond" w:cs="Arial"/>
          <w:b/>
          <w:sz w:val="22"/>
          <w:szCs w:val="22"/>
        </w:rPr>
        <w:t>…….</w:t>
      </w:r>
      <w:proofErr w:type="gramEnd"/>
      <w:r>
        <w:rPr>
          <w:rFonts w:ascii="Garamond" w:hAnsi="Garamond" w:cs="Arial"/>
          <w:b/>
          <w:sz w:val="22"/>
          <w:szCs w:val="22"/>
        </w:rPr>
        <w:t>) önkormányzati rendelettervezethez</w:t>
      </w:r>
    </w:p>
    <w:p w14:paraId="5DEE6AAA" w14:textId="77777777" w:rsidR="007223B2" w:rsidRDefault="007223B2" w:rsidP="007223B2">
      <w:pPr>
        <w:jc w:val="both"/>
        <w:rPr>
          <w:rFonts w:ascii="Garamond" w:hAnsi="Garamond" w:cs="Arial"/>
          <w:b/>
          <w:sz w:val="22"/>
          <w:szCs w:val="22"/>
        </w:rPr>
      </w:pPr>
    </w:p>
    <w:p w14:paraId="1E7EF31F" w14:textId="77777777" w:rsidR="007223B2" w:rsidRDefault="007223B2" w:rsidP="007223B2">
      <w:pPr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A jogalkotásról szóló 2010. évi CXXX. törvény – a továbbiakban: </w:t>
      </w:r>
      <w:proofErr w:type="spellStart"/>
      <w:r>
        <w:rPr>
          <w:rFonts w:ascii="Garamond" w:hAnsi="Garamond" w:cs="Garamond"/>
          <w:sz w:val="22"/>
          <w:szCs w:val="22"/>
        </w:rPr>
        <w:t>Jat</w:t>
      </w:r>
      <w:proofErr w:type="spellEnd"/>
      <w:r>
        <w:rPr>
          <w:rFonts w:ascii="Garamond" w:hAnsi="Garamond" w:cs="Garamond"/>
          <w:sz w:val="22"/>
          <w:szCs w:val="22"/>
        </w:rPr>
        <w:t xml:space="preserve">. – 17. § (1)-(2) bekezdése értelmében </w:t>
      </w:r>
    </w:p>
    <w:p w14:paraId="0741AD4E" w14:textId="77777777" w:rsidR="007223B2" w:rsidRDefault="007223B2" w:rsidP="007223B2">
      <w:pPr>
        <w:jc w:val="both"/>
        <w:rPr>
          <w:rFonts w:ascii="Garamond" w:hAnsi="Garamond" w:cs="Garamond"/>
          <w:i/>
          <w:iCs/>
          <w:sz w:val="22"/>
          <w:szCs w:val="22"/>
        </w:rPr>
      </w:pPr>
      <w:r>
        <w:rPr>
          <w:rFonts w:ascii="Garamond" w:hAnsi="Garamond" w:cs="Garamond"/>
          <w:bCs/>
          <w:i/>
          <w:iCs/>
          <w:sz w:val="22"/>
          <w:szCs w:val="22"/>
        </w:rPr>
        <w:t>„</w:t>
      </w:r>
      <w:r>
        <w:rPr>
          <w:rFonts w:ascii="Garamond" w:hAnsi="Garamond" w:cs="Garamond"/>
          <w:i/>
          <w:iCs/>
          <w:sz w:val="22"/>
          <w:szCs w:val="22"/>
        </w:rPr>
        <w:t>A jogszabály előkészítője – a jogszabály feltételezett hatásaihoz igazodó részletességű – előzetes hatásvizsgálat elvégzésével felméri a szabályozás várható következményeit. Az előzetes hatásvizsgálat eredményéről a Kormány által előterjesztendő törvényjavaslat, illetve kormányrendelet esetén a Kormányt, önkormányzati rendelet esetén a helyi önkormányzat képviselő-testületét tájékoztatni kell. Miniszteri rendelet rendelkezhet úgy, hogy az általa meghatározott esetben a közjogi szervezetszabályozó eszköz előkészítője előzetes hatásvizsgálatot végez.</w:t>
      </w:r>
    </w:p>
    <w:p w14:paraId="7DA22FEC" w14:textId="77777777" w:rsidR="007223B2" w:rsidRDefault="007223B2" w:rsidP="007223B2">
      <w:pPr>
        <w:jc w:val="both"/>
        <w:rPr>
          <w:rFonts w:ascii="Garamond" w:hAnsi="Garamond" w:cs="Garamond"/>
          <w:i/>
          <w:iCs/>
          <w:sz w:val="22"/>
          <w:szCs w:val="22"/>
        </w:rPr>
      </w:pPr>
      <w:r>
        <w:rPr>
          <w:rFonts w:ascii="Garamond" w:hAnsi="Garamond" w:cs="Garamond"/>
          <w:i/>
          <w:iCs/>
          <w:sz w:val="22"/>
          <w:szCs w:val="22"/>
        </w:rPr>
        <w:t>(2) A hatásvizsgálat során vizsgálni kell</w:t>
      </w:r>
    </w:p>
    <w:p w14:paraId="52155F7A" w14:textId="77777777" w:rsidR="007223B2" w:rsidRDefault="007223B2" w:rsidP="007223B2">
      <w:pPr>
        <w:ind w:firstLine="284"/>
        <w:jc w:val="both"/>
        <w:rPr>
          <w:rFonts w:ascii="Garamond" w:hAnsi="Garamond" w:cs="Garamond"/>
          <w:i/>
          <w:iCs/>
          <w:sz w:val="22"/>
          <w:szCs w:val="22"/>
        </w:rPr>
      </w:pPr>
      <w:r>
        <w:rPr>
          <w:rFonts w:ascii="Garamond" w:hAnsi="Garamond" w:cs="Garamond"/>
          <w:i/>
          <w:iCs/>
          <w:sz w:val="22"/>
          <w:szCs w:val="22"/>
        </w:rPr>
        <w:t>a) </w:t>
      </w:r>
      <w:r>
        <w:rPr>
          <w:rFonts w:ascii="Garamond" w:hAnsi="Garamond" w:cs="Garamond"/>
          <w:i/>
          <w:iCs/>
          <w:sz w:val="22"/>
          <w:szCs w:val="22"/>
        </w:rPr>
        <w:tab/>
        <w:t>a tervezett jogszabály valamennyi jelentősnek ítélt hatását, különösen</w:t>
      </w:r>
    </w:p>
    <w:p w14:paraId="18FCB725" w14:textId="77777777" w:rsidR="007223B2" w:rsidRDefault="007223B2" w:rsidP="007223B2">
      <w:pPr>
        <w:ind w:left="709" w:hanging="1"/>
        <w:jc w:val="both"/>
        <w:rPr>
          <w:rFonts w:ascii="Garamond" w:hAnsi="Garamond" w:cs="Garamond"/>
          <w:i/>
          <w:iCs/>
          <w:sz w:val="22"/>
          <w:szCs w:val="22"/>
        </w:rPr>
      </w:pPr>
      <w:proofErr w:type="spellStart"/>
      <w:r>
        <w:rPr>
          <w:rFonts w:ascii="Garamond" w:hAnsi="Garamond" w:cs="Garamond"/>
          <w:i/>
          <w:iCs/>
          <w:sz w:val="22"/>
          <w:szCs w:val="22"/>
        </w:rPr>
        <w:t>aa</w:t>
      </w:r>
      <w:proofErr w:type="spellEnd"/>
      <w:r>
        <w:rPr>
          <w:rFonts w:ascii="Garamond" w:hAnsi="Garamond" w:cs="Garamond"/>
          <w:i/>
          <w:iCs/>
          <w:sz w:val="22"/>
          <w:szCs w:val="22"/>
        </w:rPr>
        <w:t>) társadalmi, gazdasági, költségvetési hatásait,</w:t>
      </w:r>
      <w:bookmarkStart w:id="0" w:name="_GoBack"/>
      <w:bookmarkEnd w:id="0"/>
    </w:p>
    <w:p w14:paraId="320AC888" w14:textId="77777777" w:rsidR="007223B2" w:rsidRDefault="007223B2" w:rsidP="007223B2">
      <w:pPr>
        <w:ind w:left="567" w:firstLine="141"/>
        <w:jc w:val="both"/>
        <w:rPr>
          <w:rFonts w:ascii="Garamond" w:hAnsi="Garamond" w:cs="Garamond"/>
          <w:i/>
          <w:iCs/>
          <w:sz w:val="22"/>
          <w:szCs w:val="22"/>
        </w:rPr>
      </w:pPr>
      <w:r>
        <w:rPr>
          <w:rFonts w:ascii="Garamond" w:hAnsi="Garamond" w:cs="Garamond"/>
          <w:i/>
          <w:iCs/>
          <w:sz w:val="22"/>
          <w:szCs w:val="22"/>
        </w:rPr>
        <w:t>ab) környezeti és egészségi következményeit,</w:t>
      </w:r>
    </w:p>
    <w:p w14:paraId="62BBC4D3" w14:textId="77777777" w:rsidR="007223B2" w:rsidRDefault="007223B2" w:rsidP="007223B2">
      <w:pPr>
        <w:ind w:left="567" w:firstLine="141"/>
        <w:jc w:val="both"/>
        <w:rPr>
          <w:rFonts w:ascii="Garamond" w:hAnsi="Garamond" w:cs="Garamond"/>
          <w:i/>
          <w:iCs/>
          <w:sz w:val="22"/>
          <w:szCs w:val="22"/>
        </w:rPr>
      </w:pPr>
      <w:proofErr w:type="spellStart"/>
      <w:r>
        <w:rPr>
          <w:rFonts w:ascii="Garamond" w:hAnsi="Garamond" w:cs="Garamond"/>
          <w:i/>
          <w:iCs/>
          <w:sz w:val="22"/>
          <w:szCs w:val="22"/>
        </w:rPr>
        <w:t>ac</w:t>
      </w:r>
      <w:proofErr w:type="spellEnd"/>
      <w:r>
        <w:rPr>
          <w:rFonts w:ascii="Garamond" w:hAnsi="Garamond" w:cs="Garamond"/>
          <w:i/>
          <w:iCs/>
          <w:sz w:val="22"/>
          <w:szCs w:val="22"/>
        </w:rPr>
        <w:t xml:space="preserve">) adminisztratív </w:t>
      </w:r>
      <w:proofErr w:type="spellStart"/>
      <w:r>
        <w:rPr>
          <w:rFonts w:ascii="Garamond" w:hAnsi="Garamond" w:cs="Garamond"/>
          <w:i/>
          <w:iCs/>
          <w:sz w:val="22"/>
          <w:szCs w:val="22"/>
        </w:rPr>
        <w:t>terheket</w:t>
      </w:r>
      <w:proofErr w:type="spellEnd"/>
      <w:r>
        <w:rPr>
          <w:rFonts w:ascii="Garamond" w:hAnsi="Garamond" w:cs="Garamond"/>
          <w:i/>
          <w:iCs/>
          <w:sz w:val="22"/>
          <w:szCs w:val="22"/>
        </w:rPr>
        <w:t xml:space="preserve"> befolyásoló hatásait, valamint</w:t>
      </w:r>
    </w:p>
    <w:p w14:paraId="587AAE10" w14:textId="77777777" w:rsidR="007223B2" w:rsidRDefault="007223B2" w:rsidP="007223B2">
      <w:pPr>
        <w:ind w:left="709" w:hanging="425"/>
        <w:jc w:val="both"/>
        <w:rPr>
          <w:rFonts w:ascii="Garamond" w:hAnsi="Garamond" w:cs="Garamond"/>
          <w:i/>
          <w:iCs/>
          <w:sz w:val="22"/>
          <w:szCs w:val="22"/>
        </w:rPr>
      </w:pPr>
      <w:r>
        <w:rPr>
          <w:rFonts w:ascii="Garamond" w:hAnsi="Garamond" w:cs="Garamond"/>
          <w:i/>
          <w:iCs/>
          <w:sz w:val="22"/>
          <w:szCs w:val="22"/>
        </w:rPr>
        <w:t>b) </w:t>
      </w:r>
      <w:r>
        <w:rPr>
          <w:rFonts w:ascii="Garamond" w:hAnsi="Garamond" w:cs="Garamond"/>
          <w:i/>
          <w:iCs/>
          <w:sz w:val="22"/>
          <w:szCs w:val="22"/>
        </w:rPr>
        <w:tab/>
        <w:t>a jogszabály megalkotásának szükségességét, a jogalkotás elmaradásának várható következményeit, és</w:t>
      </w:r>
    </w:p>
    <w:p w14:paraId="75748CBA" w14:textId="77777777" w:rsidR="007223B2" w:rsidRDefault="007223B2" w:rsidP="007223B2">
      <w:pPr>
        <w:ind w:left="709" w:hanging="425"/>
        <w:jc w:val="both"/>
        <w:rPr>
          <w:rFonts w:ascii="Garamond" w:hAnsi="Garamond" w:cs="Garamond"/>
          <w:i/>
          <w:iCs/>
          <w:sz w:val="22"/>
          <w:szCs w:val="22"/>
        </w:rPr>
      </w:pPr>
      <w:r>
        <w:rPr>
          <w:rFonts w:ascii="Garamond" w:hAnsi="Garamond" w:cs="Garamond"/>
          <w:i/>
          <w:iCs/>
          <w:sz w:val="22"/>
          <w:szCs w:val="22"/>
        </w:rPr>
        <w:t>c) </w:t>
      </w:r>
      <w:r>
        <w:rPr>
          <w:rFonts w:ascii="Garamond" w:hAnsi="Garamond" w:cs="Garamond"/>
          <w:i/>
          <w:iCs/>
          <w:sz w:val="22"/>
          <w:szCs w:val="22"/>
        </w:rPr>
        <w:tab/>
        <w:t>a jogszabály alkalmazásához szükséges személyi, szervezeti, tárgyi és pénzügyi feltételeket.”</w:t>
      </w:r>
    </w:p>
    <w:p w14:paraId="1347B183" w14:textId="77777777" w:rsidR="007223B2" w:rsidRDefault="007223B2" w:rsidP="007223B2">
      <w:pPr>
        <w:ind w:firstLine="180"/>
        <w:jc w:val="both"/>
        <w:rPr>
          <w:rFonts w:ascii="Garamond" w:hAnsi="Garamond" w:cs="Garamond"/>
          <w:i/>
          <w:iCs/>
          <w:sz w:val="22"/>
          <w:szCs w:val="22"/>
        </w:rPr>
      </w:pPr>
    </w:p>
    <w:p w14:paraId="40719E78" w14:textId="77777777" w:rsidR="007223B2" w:rsidRDefault="007223B2" w:rsidP="007223B2">
      <w:pPr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A rendelet-tervezet </w:t>
      </w:r>
      <w:r>
        <w:rPr>
          <w:rFonts w:ascii="Garamond" w:hAnsi="Garamond" w:cs="Garamond"/>
          <w:b/>
          <w:bCs/>
          <w:sz w:val="22"/>
          <w:szCs w:val="22"/>
        </w:rPr>
        <w:t>társadalmi, gazdasági és költségvetési hatásai</w:t>
      </w:r>
      <w:r>
        <w:rPr>
          <w:rFonts w:ascii="Garamond" w:hAnsi="Garamond" w:cs="Garamond"/>
          <w:sz w:val="22"/>
          <w:szCs w:val="22"/>
        </w:rPr>
        <w:t xml:space="preserve">: </w:t>
      </w:r>
      <w:r>
        <w:rPr>
          <w:rFonts w:ascii="Garamond" w:hAnsi="Garamond" w:cs="Arial"/>
          <w:sz w:val="22"/>
          <w:szCs w:val="22"/>
        </w:rPr>
        <w:t xml:space="preserve">a rendelettervezet társadalmi, gazdasági és költségvetési hatásait az indokolás tartalmazza. </w:t>
      </w:r>
    </w:p>
    <w:p w14:paraId="61D93E0E" w14:textId="77777777" w:rsidR="007223B2" w:rsidRDefault="007223B2" w:rsidP="007223B2">
      <w:pPr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A rendeletben foglaltak végrehajtásának </w:t>
      </w:r>
      <w:r>
        <w:rPr>
          <w:rFonts w:ascii="Garamond" w:hAnsi="Garamond" w:cs="Garamond"/>
          <w:b/>
          <w:bCs/>
          <w:sz w:val="22"/>
          <w:szCs w:val="22"/>
        </w:rPr>
        <w:t>környezetre gyakorolt hatása</w:t>
      </w:r>
      <w:r>
        <w:rPr>
          <w:rFonts w:ascii="Garamond" w:hAnsi="Garamond" w:cs="Garamond"/>
          <w:sz w:val="22"/>
          <w:szCs w:val="22"/>
        </w:rPr>
        <w:t xml:space="preserve">, </w:t>
      </w:r>
      <w:r>
        <w:rPr>
          <w:rFonts w:ascii="Garamond" w:hAnsi="Garamond" w:cs="Garamond"/>
          <w:b/>
          <w:bCs/>
          <w:sz w:val="22"/>
          <w:szCs w:val="22"/>
        </w:rPr>
        <w:t>egészségi következménye</w:t>
      </w:r>
      <w:r>
        <w:rPr>
          <w:rFonts w:ascii="Garamond" w:hAnsi="Garamond" w:cs="Garamond"/>
          <w:sz w:val="22"/>
          <w:szCs w:val="22"/>
        </w:rPr>
        <w:t xml:space="preserve"> nincs.</w:t>
      </w:r>
    </w:p>
    <w:p w14:paraId="662E7E78" w14:textId="77777777" w:rsidR="007223B2" w:rsidRDefault="007223B2" w:rsidP="007223B2">
      <w:pPr>
        <w:jc w:val="both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A rendelet-tervezet </w:t>
      </w:r>
      <w:r>
        <w:rPr>
          <w:rFonts w:ascii="Garamond" w:hAnsi="Garamond" w:cs="Garamond"/>
          <w:b/>
          <w:bCs/>
          <w:sz w:val="22"/>
          <w:szCs w:val="22"/>
        </w:rPr>
        <w:t xml:space="preserve">adminisztratív </w:t>
      </w:r>
      <w:proofErr w:type="spellStart"/>
      <w:r>
        <w:rPr>
          <w:rFonts w:ascii="Garamond" w:hAnsi="Garamond" w:cs="Garamond"/>
          <w:b/>
          <w:bCs/>
          <w:sz w:val="22"/>
          <w:szCs w:val="22"/>
        </w:rPr>
        <w:t>terheket</w:t>
      </w:r>
      <w:proofErr w:type="spellEnd"/>
      <w:r>
        <w:rPr>
          <w:rFonts w:ascii="Garamond" w:hAnsi="Garamond" w:cs="Garamond"/>
          <w:sz w:val="22"/>
          <w:szCs w:val="22"/>
        </w:rPr>
        <w:t xml:space="preserve"> </w:t>
      </w:r>
      <w:r>
        <w:rPr>
          <w:rFonts w:ascii="Garamond" w:hAnsi="Garamond" w:cs="Garamond"/>
          <w:b/>
          <w:bCs/>
          <w:sz w:val="22"/>
          <w:szCs w:val="22"/>
        </w:rPr>
        <w:t>befolyásoló hatása</w:t>
      </w:r>
      <w:r>
        <w:rPr>
          <w:rFonts w:ascii="Garamond" w:hAnsi="Garamond" w:cs="Garamond"/>
          <w:sz w:val="22"/>
          <w:szCs w:val="22"/>
        </w:rPr>
        <w:t xml:space="preserve">: az adminisztratív </w:t>
      </w:r>
      <w:proofErr w:type="spellStart"/>
      <w:r>
        <w:rPr>
          <w:rFonts w:ascii="Garamond" w:hAnsi="Garamond" w:cs="Garamond"/>
          <w:sz w:val="22"/>
          <w:szCs w:val="22"/>
        </w:rPr>
        <w:t>terhek</w:t>
      </w:r>
      <w:proofErr w:type="spellEnd"/>
      <w:r>
        <w:rPr>
          <w:rFonts w:ascii="Garamond" w:hAnsi="Garamond" w:cs="Garamond"/>
          <w:sz w:val="22"/>
          <w:szCs w:val="22"/>
        </w:rPr>
        <w:t xml:space="preserve"> változatlanok.</w:t>
      </w:r>
    </w:p>
    <w:p w14:paraId="20B6A434" w14:textId="77777777" w:rsidR="007223B2" w:rsidRDefault="007223B2" w:rsidP="007223B2">
      <w:pPr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A jogszabály megalkotásának szükségessége, a jogalkotás elmaradásának várható következményei</w:t>
      </w:r>
      <w:r>
        <w:rPr>
          <w:rFonts w:ascii="Garamond" w:hAnsi="Garamond" w:cs="Garamond"/>
          <w:sz w:val="22"/>
          <w:szCs w:val="22"/>
        </w:rPr>
        <w:t xml:space="preserve">: </w:t>
      </w:r>
      <w:r>
        <w:rPr>
          <w:rFonts w:ascii="Garamond" w:hAnsi="Garamond" w:cs="Arial"/>
          <w:sz w:val="22"/>
          <w:szCs w:val="22"/>
        </w:rPr>
        <w:t>A rendelet-tervezet megalkotásának szükségességére elsősorban az államháztartásról szóló 2011. évi CXCV. törvény, illetve az államháztartásról szóló törvény végrehajtásáról szóló 368/2011. (XII. 31.) Kormányrendelet következtet, valamint az indokolásban arra részletesen utaltunk.</w:t>
      </w:r>
    </w:p>
    <w:p w14:paraId="19C613DE" w14:textId="77777777" w:rsidR="007223B2" w:rsidRDefault="007223B2" w:rsidP="007223B2">
      <w:pPr>
        <w:jc w:val="both"/>
        <w:rPr>
          <w:rFonts w:ascii="Garamond" w:hAnsi="Garamond" w:cs="Garamond"/>
          <w:b/>
          <w:bCs/>
          <w:sz w:val="22"/>
          <w:szCs w:val="22"/>
        </w:rPr>
      </w:pPr>
      <w:r>
        <w:rPr>
          <w:rFonts w:ascii="Garamond" w:hAnsi="Garamond" w:cs="Garamond"/>
          <w:b/>
          <w:bCs/>
          <w:sz w:val="22"/>
          <w:szCs w:val="22"/>
        </w:rPr>
        <w:t>A jogszabály alkalmazásához szükséges személyi, szervezeti, tárgyi és pénzügyi feltételek</w:t>
      </w:r>
      <w:r>
        <w:rPr>
          <w:rFonts w:ascii="Garamond" w:hAnsi="Garamond" w:cs="Garamond"/>
          <w:sz w:val="22"/>
          <w:szCs w:val="22"/>
        </w:rPr>
        <w:t>:</w:t>
      </w:r>
    </w:p>
    <w:p w14:paraId="5EF4EF3B" w14:textId="77777777" w:rsidR="007223B2" w:rsidRDefault="007223B2" w:rsidP="007223B2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rendelkezésre állnak, </w:t>
      </w:r>
      <w:r>
        <w:rPr>
          <w:rFonts w:ascii="Garamond" w:hAnsi="Garamond"/>
          <w:sz w:val="22"/>
          <w:szCs w:val="22"/>
        </w:rPr>
        <w:t>pótlólagos erőforrásokat nem követel meg.</w:t>
      </w:r>
    </w:p>
    <w:p w14:paraId="758AA47D" w14:textId="77777777" w:rsidR="007223B2" w:rsidRDefault="007223B2" w:rsidP="007223B2">
      <w:pPr>
        <w:jc w:val="both"/>
        <w:rPr>
          <w:rFonts w:ascii="Garamond" w:hAnsi="Garamond" w:cs="Arial"/>
          <w:sz w:val="22"/>
          <w:szCs w:val="22"/>
        </w:rPr>
      </w:pPr>
    </w:p>
    <w:p w14:paraId="62D54B7D" w14:textId="77777777" w:rsidR="007223B2" w:rsidRDefault="007223B2" w:rsidP="007223B2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caps/>
          <w:sz w:val="22"/>
          <w:szCs w:val="22"/>
        </w:rPr>
        <w:t>Indokolás</w:t>
      </w:r>
      <w:r>
        <w:rPr>
          <w:rFonts w:ascii="Garamond" w:hAnsi="Garamond"/>
          <w:b/>
          <w:sz w:val="22"/>
          <w:szCs w:val="22"/>
        </w:rPr>
        <w:t xml:space="preserve"> </w:t>
      </w:r>
    </w:p>
    <w:p w14:paraId="2BBDF2D2" w14:textId="44465E1A" w:rsidR="007223B2" w:rsidRDefault="007223B2" w:rsidP="007223B2">
      <w:pPr>
        <w:jc w:val="center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Ábrahámhegy Község</w:t>
      </w:r>
      <w:r>
        <w:rPr>
          <w:rFonts w:ascii="Garamond" w:hAnsi="Garamond" w:cs="Arial"/>
          <w:b/>
          <w:sz w:val="22"/>
          <w:szCs w:val="22"/>
        </w:rPr>
        <w:t xml:space="preserve"> Önkormányzata Képviselő-testületének</w:t>
      </w:r>
    </w:p>
    <w:p w14:paraId="31193828" w14:textId="77777777" w:rsidR="007223B2" w:rsidRDefault="007223B2" w:rsidP="007223B2">
      <w:pPr>
        <w:jc w:val="center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 xml:space="preserve">az önkormányzat 2020. évi költségvetéséről szóló </w:t>
      </w:r>
    </w:p>
    <w:p w14:paraId="2F8C3684" w14:textId="77777777" w:rsidR="007223B2" w:rsidRDefault="007223B2" w:rsidP="007223B2">
      <w:pPr>
        <w:jc w:val="center"/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…/2020. (………...) önkormányzati rendelettervezethez</w:t>
      </w:r>
    </w:p>
    <w:p w14:paraId="31143394" w14:textId="77777777" w:rsidR="007223B2" w:rsidRDefault="007223B2" w:rsidP="007223B2">
      <w:pPr>
        <w:jc w:val="both"/>
        <w:rPr>
          <w:rFonts w:ascii="Garamond" w:hAnsi="Garamond"/>
          <w:sz w:val="22"/>
          <w:szCs w:val="22"/>
        </w:rPr>
      </w:pPr>
    </w:p>
    <w:p w14:paraId="6F0B957F" w14:textId="77777777" w:rsidR="007223B2" w:rsidRDefault="007223B2" w:rsidP="007223B2">
      <w:pPr>
        <w:pStyle w:val="Listaszerbekezds1"/>
        <w:ind w:left="0"/>
        <w:jc w:val="both"/>
        <w:rPr>
          <w:rFonts w:ascii="Garamond" w:hAnsi="Garamond"/>
        </w:rPr>
      </w:pPr>
      <w:r>
        <w:rPr>
          <w:rFonts w:ascii="Garamond" w:hAnsi="Garamond" w:cs="Arial"/>
        </w:rPr>
        <w:t>Az előterjesztésben hivatkozott, a</w:t>
      </w:r>
      <w:r>
        <w:rPr>
          <w:rFonts w:ascii="Garamond" w:hAnsi="Garamond"/>
        </w:rPr>
        <w:t xml:space="preserve">z államháztartásról szóló 2011. évi CXCV. törvény (továbbiakban: Áht.), </w:t>
      </w:r>
      <w:r>
        <w:rPr>
          <w:rFonts w:ascii="Garamond" w:hAnsi="Garamond" w:cs="Arial"/>
        </w:rPr>
        <w:t>az államháztartásról szóló törvény végrehajtásáról szóló 368/2011. (XII. 31.) Kormányrendelet</w:t>
      </w:r>
      <w:r>
        <w:rPr>
          <w:rFonts w:ascii="Garamond" w:hAnsi="Garamond"/>
        </w:rPr>
        <w:t xml:space="preserve"> szerinti kötelezettségek elvégzése. Az Áht. 24. § (3) bekezdése alapján a jegyző által </w:t>
      </w:r>
      <w:r>
        <w:rPr>
          <w:rFonts w:ascii="Garamond" w:hAnsi="Garamond"/>
          <w:bCs/>
        </w:rPr>
        <w:t xml:space="preserve">az Áht. 29/A. § szerinti tervszámoknak megfelelően </w:t>
      </w:r>
      <w:r>
        <w:rPr>
          <w:rFonts w:ascii="Garamond" w:hAnsi="Garamond"/>
        </w:rPr>
        <w:t xml:space="preserve">előkészített költségvetési rendelet-tervezetet a polgármester a központi költségvetésről szóló törvény hatálybalépését követő negyvenötödik napig nyújtja be a képviselő-testületnek.  </w:t>
      </w:r>
    </w:p>
    <w:p w14:paraId="201289D2" w14:textId="77777777" w:rsidR="0017582D" w:rsidRDefault="005201F7"/>
    <w:sectPr w:rsidR="00175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B2"/>
    <w:rsid w:val="003D668B"/>
    <w:rsid w:val="007223B2"/>
    <w:rsid w:val="00EF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F73C"/>
  <w15:chartTrackingRefBased/>
  <w15:docId w15:val="{9454F052-649B-49DC-890E-0878AB61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22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uiPriority w:val="99"/>
    <w:rsid w:val="007223B2"/>
    <w:pPr>
      <w:ind w:left="720" w:right="113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6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cp:keywords/>
  <dc:description/>
  <cp:lastModifiedBy>Jegyző</cp:lastModifiedBy>
  <cp:revision>2</cp:revision>
  <dcterms:created xsi:type="dcterms:W3CDTF">2020-02-18T06:28:00Z</dcterms:created>
  <dcterms:modified xsi:type="dcterms:W3CDTF">2020-02-18T06:29:00Z</dcterms:modified>
</cp:coreProperties>
</file>